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Theme="minorEastAsia"/>
          <w:b/>
          <w:bCs/>
          <w:lang w:val="en-US" w:eastAsia="zh-CN"/>
        </w:rPr>
      </w:pPr>
    </w:p>
    <w:p>
      <w:pPr>
        <w:jc w:val="both"/>
        <w:rPr>
          <w:rFonts w:hint="eastAsia" w:eastAsiaTheme="minorEastAsia"/>
          <w:b/>
          <w:bCs/>
          <w:lang w:val="en-US" w:eastAsia="zh-CN"/>
        </w:rPr>
      </w:pPr>
      <w:r>
        <w:rPr>
          <w:rFonts w:hint="eastAsia"/>
          <w:b/>
          <w:bCs/>
          <w:lang w:val="en-US" w:eastAsia="zh-CN"/>
        </w:rPr>
        <w:t xml:space="preserve">   </w:t>
      </w:r>
    </w:p>
    <w:p>
      <w:pPr>
        <w:jc w:val="center"/>
        <w:rPr>
          <w:rFonts w:hint="eastAsia"/>
          <w:b/>
          <w:bCs/>
        </w:rPr>
      </w:pPr>
    </w:p>
    <w:p>
      <w:pPr>
        <w:jc w:val="center"/>
        <w:rPr>
          <w:rFonts w:hint="eastAsia"/>
          <w:b/>
          <w:bCs/>
        </w:rPr>
      </w:pPr>
      <w:r>
        <w:drawing>
          <wp:inline distT="0" distB="0" distL="114300" distR="114300">
            <wp:extent cx="5112385" cy="4272915"/>
            <wp:effectExtent l="0" t="0" r="12065" b="133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112385" cy="4272915"/>
                    </a:xfrm>
                    <a:prstGeom prst="rect">
                      <a:avLst/>
                    </a:prstGeom>
                    <a:noFill/>
                    <a:ln w="9525">
                      <a:noFill/>
                    </a:ln>
                  </pic:spPr>
                </pic:pic>
              </a:graphicData>
            </a:graphic>
          </wp:inline>
        </w:drawing>
      </w:r>
    </w:p>
    <w:p>
      <w:pPr>
        <w:jc w:val="center"/>
        <w:rPr>
          <w:rFonts w:hint="eastAsia"/>
          <w:b/>
          <w:bCs/>
        </w:rPr>
      </w:pPr>
    </w:p>
    <w:p>
      <w:pPr>
        <w:jc w:val="center"/>
        <w:rPr>
          <w:rFonts w:hint="eastAsia"/>
          <w:b/>
          <w:bCs/>
        </w:rPr>
      </w:pPr>
    </w:p>
    <w:p>
      <w:pPr>
        <w:jc w:val="center"/>
        <w:rPr>
          <w:rFonts w:hint="eastAsia"/>
          <w:b/>
          <w:bCs/>
        </w:rPr>
      </w:pPr>
    </w:p>
    <w:p>
      <w:pPr>
        <w:jc w:val="center"/>
        <w:rPr>
          <w:rFonts w:hint="eastAsia"/>
          <w:b/>
          <w:bCs/>
        </w:rPr>
      </w:pPr>
    </w:p>
    <w:p>
      <w:pPr>
        <w:jc w:val="both"/>
        <w:rPr>
          <w:rFonts w:hint="eastAsia"/>
          <w:b/>
          <w:bCs/>
        </w:rPr>
      </w:pPr>
      <w:r>
        <w:rPr>
          <w:rFonts w:hint="eastAsia"/>
          <w:b/>
          <w:bCs/>
          <w:lang w:val="en-US" w:eastAsia="zh-CN"/>
        </w:rPr>
        <w:t>附件：</w:t>
      </w:r>
      <w:r>
        <w:rPr>
          <w:rFonts w:hint="eastAsia"/>
          <w:b/>
          <w:bCs/>
        </w:rPr>
        <w:t>2018年青岛市教育局直属学校面试前置公开招聘工作人员简章</w:t>
      </w:r>
    </w:p>
    <w:p>
      <w:pPr>
        <w:rPr>
          <w:rFonts w:hint="eastAsia"/>
        </w:rPr>
      </w:pPr>
      <w:r>
        <w:rPr>
          <w:rFonts w:hint="eastAsia"/>
        </w:rPr>
        <w:t xml:space="preserve">  </w:t>
      </w:r>
    </w:p>
    <w:p>
      <w:pPr>
        <w:jc w:val="center"/>
        <w:rPr>
          <w:rFonts w:hint="eastAsia"/>
        </w:rPr>
      </w:pPr>
      <w:r>
        <w:rPr>
          <w:rFonts w:hint="eastAsia"/>
        </w:rPr>
        <w:t>来源：人事处  |  发布日期：2018-01-10</w:t>
      </w:r>
    </w:p>
    <w:p>
      <w:pPr>
        <w:rPr>
          <w:rFonts w:hint="eastAsia"/>
          <w:color w:val="auto"/>
          <w:sz w:val="22"/>
          <w:szCs w:val="28"/>
        </w:rPr>
      </w:pPr>
      <w:r>
        <w:rPr>
          <w:rFonts w:hint="eastAsia"/>
        </w:rPr>
        <w:t>　　</w:t>
      </w:r>
      <w:r>
        <w:rPr>
          <w:rFonts w:hint="eastAsia"/>
          <w:color w:val="auto"/>
          <w:sz w:val="22"/>
          <w:szCs w:val="28"/>
        </w:rPr>
        <w:t>根据《事业单位人事管理条例》（国务院令第652号）、《事业单位公开招聘人员暂行规定》（人事部令第6号）、《青岛市事业单位公开招聘工作规程（试行）》（青人社发〔2017〕3号）、《关于做好2018年度事业单位公开招聘工作的通知》（青人社字〔2017〕65号）等文件要求以及省、市有关规定，2018年青岛市教育局部分直属学校计划面试前置公开招聘聘用制工作人员64人（见附件1）。现将有关事宜公告如下：</w:t>
      </w:r>
    </w:p>
    <w:p>
      <w:pPr>
        <w:rPr>
          <w:rFonts w:hint="eastAsia"/>
          <w:color w:val="auto"/>
          <w:sz w:val="22"/>
          <w:szCs w:val="28"/>
        </w:rPr>
      </w:pPr>
      <w:r>
        <w:rPr>
          <w:rFonts w:hint="eastAsia"/>
          <w:color w:val="auto"/>
          <w:sz w:val="22"/>
          <w:szCs w:val="28"/>
        </w:rPr>
        <w:t>　　一、招聘范围和条件</w:t>
      </w:r>
    </w:p>
    <w:p>
      <w:pPr>
        <w:rPr>
          <w:rFonts w:hint="eastAsia"/>
          <w:color w:val="auto"/>
          <w:sz w:val="22"/>
          <w:szCs w:val="28"/>
        </w:rPr>
      </w:pPr>
      <w:r>
        <w:rPr>
          <w:rFonts w:hint="eastAsia"/>
          <w:color w:val="auto"/>
          <w:sz w:val="22"/>
          <w:szCs w:val="28"/>
        </w:rPr>
        <w:t>　　（一）应聘人员应具备招聘岗位所规定的资格条件（见附件1），并符合下列条件：</w:t>
      </w:r>
    </w:p>
    <w:p>
      <w:pPr>
        <w:rPr>
          <w:rFonts w:hint="eastAsia"/>
          <w:color w:val="auto"/>
          <w:sz w:val="22"/>
          <w:szCs w:val="28"/>
        </w:rPr>
      </w:pPr>
      <w:r>
        <w:rPr>
          <w:rFonts w:hint="eastAsia"/>
          <w:color w:val="auto"/>
          <w:sz w:val="22"/>
          <w:szCs w:val="28"/>
        </w:rPr>
        <w:t>　　1.具有中华人民共和国国籍；</w:t>
      </w:r>
    </w:p>
    <w:p>
      <w:pPr>
        <w:rPr>
          <w:rFonts w:hint="eastAsia"/>
          <w:color w:val="auto"/>
          <w:sz w:val="22"/>
          <w:szCs w:val="28"/>
        </w:rPr>
      </w:pPr>
      <w:r>
        <w:rPr>
          <w:rFonts w:hint="eastAsia"/>
          <w:color w:val="auto"/>
          <w:sz w:val="22"/>
          <w:szCs w:val="28"/>
        </w:rPr>
        <w:t>　　2.遵守宪法和法律，无违法犯罪记录；</w:t>
      </w:r>
    </w:p>
    <w:p>
      <w:pPr>
        <w:rPr>
          <w:rFonts w:hint="eastAsia"/>
          <w:color w:val="auto"/>
          <w:sz w:val="22"/>
          <w:szCs w:val="28"/>
        </w:rPr>
      </w:pPr>
      <w:r>
        <w:rPr>
          <w:rFonts w:hint="eastAsia"/>
          <w:color w:val="auto"/>
          <w:sz w:val="22"/>
          <w:szCs w:val="28"/>
        </w:rPr>
        <w:t>　　3.热爱教育事业，品行良好；</w:t>
      </w:r>
    </w:p>
    <w:p>
      <w:pPr>
        <w:rPr>
          <w:rFonts w:hint="eastAsia"/>
          <w:color w:val="auto"/>
          <w:sz w:val="22"/>
          <w:szCs w:val="28"/>
        </w:rPr>
      </w:pPr>
      <w:r>
        <w:rPr>
          <w:rFonts w:hint="eastAsia"/>
          <w:color w:val="auto"/>
          <w:sz w:val="22"/>
          <w:szCs w:val="28"/>
        </w:rPr>
        <w:t>　　4.具有岗位所需的专业或技能条件；</w:t>
      </w:r>
    </w:p>
    <w:p>
      <w:pPr>
        <w:rPr>
          <w:rFonts w:hint="eastAsia"/>
          <w:color w:val="auto"/>
          <w:sz w:val="22"/>
          <w:szCs w:val="28"/>
        </w:rPr>
      </w:pPr>
      <w:r>
        <w:rPr>
          <w:rFonts w:hint="eastAsia"/>
          <w:color w:val="auto"/>
          <w:sz w:val="22"/>
          <w:szCs w:val="28"/>
        </w:rPr>
        <w:t>　　5.具有适应岗位要求的身体条件；</w:t>
      </w:r>
    </w:p>
    <w:p>
      <w:pPr>
        <w:rPr>
          <w:rFonts w:hint="eastAsia"/>
          <w:color w:val="auto"/>
          <w:sz w:val="22"/>
          <w:szCs w:val="28"/>
        </w:rPr>
      </w:pPr>
      <w:r>
        <w:rPr>
          <w:rFonts w:hint="eastAsia"/>
          <w:color w:val="auto"/>
          <w:sz w:val="22"/>
          <w:szCs w:val="28"/>
        </w:rPr>
        <w:t>　　6.具备招聘岗位所需的其它资格条件。</w:t>
      </w:r>
    </w:p>
    <w:p>
      <w:pPr>
        <w:rPr>
          <w:rFonts w:hint="eastAsia"/>
          <w:color w:val="auto"/>
          <w:sz w:val="22"/>
          <w:szCs w:val="28"/>
        </w:rPr>
      </w:pPr>
      <w:r>
        <w:rPr>
          <w:rFonts w:hint="eastAsia"/>
          <w:color w:val="auto"/>
          <w:sz w:val="22"/>
          <w:szCs w:val="28"/>
        </w:rPr>
        <w:t>　　（二）属下列情形之一的，不具备应聘资格：</w:t>
      </w:r>
    </w:p>
    <w:p>
      <w:pPr>
        <w:rPr>
          <w:rFonts w:hint="eastAsia"/>
          <w:color w:val="auto"/>
          <w:sz w:val="22"/>
          <w:szCs w:val="28"/>
        </w:rPr>
      </w:pPr>
      <w:r>
        <w:rPr>
          <w:rFonts w:hint="eastAsia"/>
          <w:color w:val="auto"/>
          <w:sz w:val="22"/>
          <w:szCs w:val="28"/>
        </w:rPr>
        <w:t>　　1.在读全日制普通高校非2018届毕业学生；</w:t>
      </w:r>
    </w:p>
    <w:p>
      <w:pPr>
        <w:rPr>
          <w:rFonts w:hint="eastAsia"/>
          <w:color w:val="auto"/>
          <w:sz w:val="22"/>
          <w:szCs w:val="28"/>
        </w:rPr>
      </w:pPr>
      <w:r>
        <w:rPr>
          <w:rFonts w:hint="eastAsia"/>
          <w:color w:val="auto"/>
          <w:sz w:val="22"/>
          <w:szCs w:val="28"/>
        </w:rPr>
        <w:t>　　2.现役军人；</w:t>
      </w:r>
    </w:p>
    <w:p>
      <w:pPr>
        <w:rPr>
          <w:rFonts w:hint="eastAsia"/>
          <w:color w:val="auto"/>
          <w:sz w:val="22"/>
          <w:szCs w:val="28"/>
        </w:rPr>
      </w:pPr>
      <w:r>
        <w:rPr>
          <w:rFonts w:hint="eastAsia"/>
          <w:color w:val="auto"/>
          <w:sz w:val="22"/>
          <w:szCs w:val="28"/>
        </w:rPr>
        <w:t>　　3.曾受过刑事处罚或曾被开除公职人员；</w:t>
      </w:r>
    </w:p>
    <w:p>
      <w:pPr>
        <w:rPr>
          <w:rFonts w:hint="eastAsia"/>
          <w:color w:val="auto"/>
          <w:sz w:val="22"/>
          <w:szCs w:val="28"/>
        </w:rPr>
      </w:pPr>
      <w:r>
        <w:rPr>
          <w:rFonts w:hint="eastAsia"/>
          <w:color w:val="auto"/>
          <w:sz w:val="22"/>
          <w:szCs w:val="28"/>
        </w:rPr>
        <w:t>　　4.与应聘岗位所属单位有应回避亲属关系的人员；</w:t>
      </w:r>
    </w:p>
    <w:p>
      <w:pPr>
        <w:rPr>
          <w:rFonts w:hint="eastAsia"/>
          <w:color w:val="auto"/>
          <w:sz w:val="22"/>
          <w:szCs w:val="28"/>
        </w:rPr>
      </w:pPr>
      <w:r>
        <w:rPr>
          <w:rFonts w:hint="eastAsia"/>
          <w:color w:val="auto"/>
          <w:sz w:val="22"/>
          <w:szCs w:val="28"/>
        </w:rPr>
        <w:t>　　5.法律规定不得聘用的其他情形人员。</w:t>
      </w:r>
    </w:p>
    <w:p>
      <w:pPr>
        <w:rPr>
          <w:rFonts w:hint="eastAsia"/>
          <w:color w:val="auto"/>
          <w:sz w:val="22"/>
          <w:szCs w:val="28"/>
        </w:rPr>
      </w:pPr>
      <w:r>
        <w:rPr>
          <w:rFonts w:hint="eastAsia"/>
          <w:color w:val="auto"/>
          <w:sz w:val="22"/>
          <w:szCs w:val="28"/>
        </w:rPr>
        <w:t>　　二、招聘方式及程序</w:t>
      </w:r>
    </w:p>
    <w:p>
      <w:pPr>
        <w:rPr>
          <w:rFonts w:hint="eastAsia"/>
          <w:color w:val="auto"/>
          <w:sz w:val="22"/>
          <w:szCs w:val="28"/>
        </w:rPr>
      </w:pPr>
      <w:r>
        <w:rPr>
          <w:rFonts w:hint="eastAsia"/>
          <w:color w:val="auto"/>
          <w:sz w:val="22"/>
          <w:szCs w:val="28"/>
        </w:rPr>
        <w:t>　　2018年青岛市教育局直属学校公开招聘工作采用面试前置方式进行，招聘程序如下：</w:t>
      </w:r>
    </w:p>
    <w:p>
      <w:pPr>
        <w:rPr>
          <w:rFonts w:hint="eastAsia"/>
          <w:color w:val="auto"/>
          <w:sz w:val="22"/>
          <w:szCs w:val="28"/>
        </w:rPr>
      </w:pPr>
      <w:r>
        <w:rPr>
          <w:rFonts w:hint="eastAsia"/>
          <w:color w:val="auto"/>
          <w:sz w:val="22"/>
          <w:szCs w:val="28"/>
        </w:rPr>
        <w:t>　　（一）青岛市教育局发布招聘岗位信息，应聘人员经报名、资格审查，确定进入面试范围人员；</w:t>
      </w:r>
    </w:p>
    <w:p>
      <w:pPr>
        <w:rPr>
          <w:rFonts w:hint="eastAsia"/>
          <w:color w:val="auto"/>
          <w:sz w:val="22"/>
          <w:szCs w:val="28"/>
        </w:rPr>
      </w:pPr>
      <w:r>
        <w:rPr>
          <w:rFonts w:hint="eastAsia"/>
          <w:color w:val="auto"/>
          <w:sz w:val="22"/>
          <w:szCs w:val="28"/>
        </w:rPr>
        <w:t>　　（二）进入面试范围人员参加招聘单位组织的面试，根据面试成绩确定进入笔试范围人员；</w:t>
      </w:r>
    </w:p>
    <w:p>
      <w:pPr>
        <w:rPr>
          <w:rFonts w:hint="eastAsia"/>
          <w:color w:val="auto"/>
          <w:sz w:val="22"/>
          <w:szCs w:val="28"/>
        </w:rPr>
      </w:pPr>
      <w:r>
        <w:rPr>
          <w:rFonts w:hint="eastAsia"/>
          <w:color w:val="auto"/>
          <w:sz w:val="22"/>
          <w:szCs w:val="28"/>
        </w:rPr>
        <w:t>　　（三）进入笔试范围人员参加2018年山东省事业单位统一招聘笔试，根据笔试和面试综合成绩确定进入考察范围人员；</w:t>
      </w:r>
    </w:p>
    <w:p>
      <w:pPr>
        <w:rPr>
          <w:rFonts w:hint="eastAsia"/>
          <w:color w:val="auto"/>
          <w:sz w:val="22"/>
          <w:szCs w:val="28"/>
        </w:rPr>
      </w:pPr>
      <w:r>
        <w:rPr>
          <w:rFonts w:hint="eastAsia"/>
          <w:color w:val="auto"/>
          <w:sz w:val="22"/>
          <w:szCs w:val="28"/>
        </w:rPr>
        <w:t>　　（四）对进入考察范围人员进行考察和体检，确定拟聘用人员，进行公示，按规定办理聘用手续。</w:t>
      </w:r>
    </w:p>
    <w:p>
      <w:pPr>
        <w:rPr>
          <w:rFonts w:hint="eastAsia"/>
          <w:color w:val="auto"/>
          <w:sz w:val="22"/>
          <w:szCs w:val="28"/>
        </w:rPr>
      </w:pPr>
      <w:r>
        <w:rPr>
          <w:rFonts w:hint="eastAsia"/>
          <w:color w:val="auto"/>
          <w:sz w:val="22"/>
          <w:szCs w:val="28"/>
        </w:rPr>
        <w:t>　　三、面试报名和资格审查</w:t>
      </w:r>
    </w:p>
    <w:p>
      <w:pPr>
        <w:rPr>
          <w:rFonts w:hint="eastAsia"/>
          <w:color w:val="auto"/>
          <w:sz w:val="22"/>
          <w:szCs w:val="28"/>
        </w:rPr>
      </w:pPr>
      <w:r>
        <w:rPr>
          <w:rFonts w:hint="eastAsia"/>
          <w:color w:val="auto"/>
          <w:sz w:val="22"/>
          <w:szCs w:val="28"/>
        </w:rPr>
        <w:t>　　应聘人员可采取网上报名或现场报名方式进行面试报名，每人限报一个岗位。采取网上报名人员须按规定时间参加资格审查，采取现场报名人员在报名同时进行资格审查。</w:t>
      </w:r>
    </w:p>
    <w:p>
      <w:pPr>
        <w:rPr>
          <w:rFonts w:hint="eastAsia"/>
          <w:color w:val="auto"/>
          <w:sz w:val="22"/>
          <w:szCs w:val="28"/>
        </w:rPr>
      </w:pPr>
      <w:r>
        <w:rPr>
          <w:rFonts w:hint="eastAsia"/>
          <w:color w:val="auto"/>
          <w:sz w:val="22"/>
          <w:szCs w:val="28"/>
        </w:rPr>
        <w:t>　　招聘单位按照本招聘简章公布的招聘条件和要求，对报名人员的证件材料进行审查，经审查不具备报考条件的、无法按时提供相关材料、材料信息存在问题以及弄虚作假的人员，一律不予通过资格审查，并取消其报名资格。资格审查通过人员现场领取面试准考证。对应聘人员的资格审查贯穿招聘工作全过程。</w:t>
      </w:r>
    </w:p>
    <w:p>
      <w:pPr>
        <w:rPr>
          <w:rFonts w:hint="eastAsia"/>
          <w:color w:val="auto"/>
          <w:sz w:val="22"/>
          <w:szCs w:val="28"/>
        </w:rPr>
      </w:pPr>
      <w:r>
        <w:rPr>
          <w:rFonts w:hint="eastAsia"/>
          <w:color w:val="auto"/>
          <w:sz w:val="22"/>
          <w:szCs w:val="28"/>
        </w:rPr>
        <w:t>　　（一）报名及资格审查时间</w:t>
      </w:r>
    </w:p>
    <w:p>
      <w:pPr>
        <w:rPr>
          <w:rFonts w:hint="eastAsia"/>
          <w:color w:val="auto"/>
          <w:sz w:val="22"/>
          <w:szCs w:val="28"/>
        </w:rPr>
      </w:pPr>
      <w:r>
        <w:rPr>
          <w:rFonts w:hint="eastAsia"/>
          <w:color w:val="auto"/>
          <w:sz w:val="22"/>
          <w:szCs w:val="28"/>
        </w:rPr>
        <w:t>　　1月16日—1月18日，上午8：00—11：30， 下午13：30—16：00。</w:t>
      </w:r>
    </w:p>
    <w:p>
      <w:pPr>
        <w:rPr>
          <w:rFonts w:hint="eastAsia"/>
          <w:color w:val="auto"/>
          <w:sz w:val="22"/>
          <w:szCs w:val="28"/>
        </w:rPr>
      </w:pPr>
      <w:r>
        <w:rPr>
          <w:rFonts w:hint="eastAsia"/>
          <w:color w:val="auto"/>
          <w:sz w:val="22"/>
          <w:szCs w:val="28"/>
        </w:rPr>
        <w:t>　　（二）报名方式</w:t>
      </w:r>
    </w:p>
    <w:p>
      <w:pPr>
        <w:rPr>
          <w:rFonts w:hint="eastAsia"/>
          <w:color w:val="auto"/>
          <w:sz w:val="22"/>
          <w:szCs w:val="28"/>
        </w:rPr>
      </w:pPr>
      <w:r>
        <w:rPr>
          <w:rFonts w:hint="eastAsia"/>
          <w:color w:val="auto"/>
          <w:sz w:val="22"/>
          <w:szCs w:val="28"/>
        </w:rPr>
        <w:t>　　1．网上报名。应聘人员将《青岛市教育局直属学校面试前置公开招聘工作人员报名登记表》（见附件2）以电子邮件方式发送至招聘单位的电子邮箱，邮件主题注明“报名登记表（岗位：XXX，姓名：XXX）”，发送邮件后请通过电话确认，联系方式及电子邮箱地址见附件1。采取网上报名人员须按规定时间参加资格审查。</w:t>
      </w:r>
    </w:p>
    <w:p>
      <w:pPr>
        <w:rPr>
          <w:rFonts w:hint="eastAsia"/>
          <w:color w:val="auto"/>
          <w:sz w:val="22"/>
          <w:szCs w:val="28"/>
        </w:rPr>
      </w:pPr>
      <w:r>
        <w:rPr>
          <w:rFonts w:hint="eastAsia"/>
          <w:color w:val="auto"/>
          <w:sz w:val="22"/>
          <w:szCs w:val="28"/>
        </w:rPr>
        <w:t>　　2.现场报名。报名地点为各招聘单位（见附件1），采取现场报名人员在报名同时进行资格审查。</w:t>
      </w:r>
    </w:p>
    <w:p>
      <w:pPr>
        <w:rPr>
          <w:rFonts w:hint="eastAsia"/>
          <w:color w:val="auto"/>
          <w:sz w:val="22"/>
          <w:szCs w:val="28"/>
        </w:rPr>
      </w:pPr>
      <w:r>
        <w:rPr>
          <w:rFonts w:hint="eastAsia"/>
          <w:color w:val="auto"/>
          <w:sz w:val="22"/>
          <w:szCs w:val="28"/>
        </w:rPr>
        <w:t>　　（三）资格审查须提交的材料：</w:t>
      </w:r>
    </w:p>
    <w:p>
      <w:pPr>
        <w:rPr>
          <w:rFonts w:hint="eastAsia"/>
          <w:color w:val="auto"/>
          <w:sz w:val="22"/>
          <w:szCs w:val="28"/>
        </w:rPr>
      </w:pPr>
      <w:r>
        <w:rPr>
          <w:rFonts w:hint="eastAsia"/>
          <w:color w:val="auto"/>
          <w:sz w:val="22"/>
          <w:szCs w:val="28"/>
        </w:rPr>
        <w:t>　　1.《青岛市教育局直属学校面试前置公开招聘工作人员报名登记表》（附件2，以下简称《报名登记表》）原件。与《报名登记表》同底版的2寸近期免冠彩色照片两张。</w:t>
      </w:r>
    </w:p>
    <w:p>
      <w:pPr>
        <w:rPr>
          <w:rFonts w:hint="eastAsia"/>
          <w:color w:val="auto"/>
          <w:sz w:val="22"/>
          <w:szCs w:val="28"/>
        </w:rPr>
      </w:pPr>
      <w:r>
        <w:rPr>
          <w:rFonts w:hint="eastAsia"/>
          <w:color w:val="auto"/>
          <w:sz w:val="22"/>
          <w:szCs w:val="28"/>
        </w:rPr>
        <w:t>　　2.《青岛市教育局直属学校面试前置公开招聘工作人员诚信承诺书》（附件3）原件。</w:t>
      </w:r>
    </w:p>
    <w:p>
      <w:pPr>
        <w:rPr>
          <w:rFonts w:hint="eastAsia"/>
          <w:color w:val="auto"/>
          <w:sz w:val="22"/>
          <w:szCs w:val="28"/>
        </w:rPr>
      </w:pPr>
      <w:r>
        <w:rPr>
          <w:rFonts w:hint="eastAsia"/>
          <w:color w:val="auto"/>
          <w:sz w:val="22"/>
          <w:szCs w:val="28"/>
        </w:rPr>
        <w:t>　　3.二代身份证原件及复印件（复印件使用A4型纸复印清晰，下同）。</w:t>
      </w:r>
    </w:p>
    <w:p>
      <w:pPr>
        <w:rPr>
          <w:rFonts w:hint="eastAsia"/>
          <w:color w:val="auto"/>
          <w:sz w:val="22"/>
          <w:szCs w:val="28"/>
        </w:rPr>
      </w:pPr>
      <w:r>
        <w:rPr>
          <w:rFonts w:hint="eastAsia"/>
          <w:color w:val="auto"/>
          <w:sz w:val="22"/>
          <w:szCs w:val="28"/>
        </w:rPr>
        <w:t>　　4. 符合招聘岗位条件的学历证书、学位证书、专业技术职务任职资格证书、相应教师资格证书原件及复印件。尚未取得教师资格证人员，须在办理聘用手续前提供；应聘人员研究生所学专业原则上应与本科所学专业一致。</w:t>
      </w:r>
    </w:p>
    <w:p>
      <w:pPr>
        <w:rPr>
          <w:rFonts w:hint="eastAsia"/>
          <w:color w:val="auto"/>
          <w:sz w:val="22"/>
          <w:szCs w:val="28"/>
        </w:rPr>
      </w:pPr>
      <w:r>
        <w:rPr>
          <w:rFonts w:hint="eastAsia"/>
          <w:color w:val="auto"/>
          <w:sz w:val="22"/>
          <w:szCs w:val="28"/>
        </w:rPr>
        <w:t>　　5.2018届毕业生可提交学校教务部门出具的学历、学位证明和学校核发的就业推荐表、就业协议书原件（山东省内院校未签订就业协议的毕业生提供学校就业主管部门出具的未签约证明）。在读全日制普通高校非应届毕业生不能用已取得的学历学位作为条件应聘。</w:t>
      </w:r>
    </w:p>
    <w:p>
      <w:pPr>
        <w:rPr>
          <w:rFonts w:hint="eastAsia"/>
          <w:color w:val="auto"/>
          <w:sz w:val="22"/>
          <w:szCs w:val="28"/>
        </w:rPr>
      </w:pPr>
      <w:r>
        <w:rPr>
          <w:rFonts w:hint="eastAsia"/>
          <w:color w:val="auto"/>
          <w:sz w:val="22"/>
          <w:szCs w:val="28"/>
        </w:rPr>
        <w:t>　　6.招聘岗位对应聘人员有相关工作经历年限要求的，提交应聘人员工作单位出具的工作经历证明和经备案的劳动（聘用）合同原件及复印件。计算工作经历年限截止2018年1月16日，按足年足月累计（高校毕业生在校期间的社会实践、实习、兼职等不作为工作经历）。</w:t>
      </w:r>
    </w:p>
    <w:p>
      <w:pPr>
        <w:rPr>
          <w:rFonts w:hint="eastAsia"/>
          <w:color w:val="auto"/>
          <w:sz w:val="22"/>
          <w:szCs w:val="28"/>
        </w:rPr>
      </w:pPr>
      <w:r>
        <w:rPr>
          <w:rFonts w:hint="eastAsia"/>
          <w:color w:val="auto"/>
          <w:sz w:val="22"/>
          <w:szCs w:val="28"/>
        </w:rPr>
        <w:t>　　7.无业人员须提交失业证或相关部门出具的无业证明（2015届、2016届、2017届未就业毕业生提供就业报到证原件及复印件）。</w:t>
      </w:r>
    </w:p>
    <w:p>
      <w:pPr>
        <w:rPr>
          <w:rFonts w:hint="eastAsia"/>
          <w:color w:val="auto"/>
          <w:sz w:val="22"/>
          <w:szCs w:val="28"/>
        </w:rPr>
      </w:pPr>
      <w:r>
        <w:rPr>
          <w:rFonts w:hint="eastAsia"/>
          <w:color w:val="auto"/>
          <w:sz w:val="22"/>
          <w:szCs w:val="28"/>
        </w:rPr>
        <w:t>　　8.在职人员须提交有用人权限的部门或单位出具的同意应聘证明，公办中小学教师应聘须出具经县以上教育行政主管部门同意参加应聘的证明（经招聘单位同意，也可在考察和体检时提供）；定向、委培毕业生需提交定向、委培单位同意应聘的证明。</w:t>
      </w:r>
    </w:p>
    <w:p>
      <w:pPr>
        <w:rPr>
          <w:rFonts w:hint="eastAsia"/>
          <w:color w:val="auto"/>
          <w:sz w:val="22"/>
          <w:szCs w:val="28"/>
        </w:rPr>
      </w:pPr>
      <w:r>
        <w:rPr>
          <w:rFonts w:hint="eastAsia"/>
          <w:color w:val="auto"/>
          <w:sz w:val="22"/>
          <w:szCs w:val="28"/>
        </w:rPr>
        <w:t>　　9.符合招聘岗位条件要求的其他证件和证明材料原件及复印件。</w:t>
      </w:r>
    </w:p>
    <w:p>
      <w:pPr>
        <w:rPr>
          <w:rFonts w:hint="eastAsia"/>
          <w:color w:val="auto"/>
          <w:sz w:val="22"/>
          <w:szCs w:val="28"/>
        </w:rPr>
      </w:pPr>
      <w:r>
        <w:rPr>
          <w:rFonts w:hint="eastAsia"/>
          <w:color w:val="auto"/>
          <w:sz w:val="22"/>
          <w:szCs w:val="28"/>
        </w:rPr>
        <w:t>　　如应聘人员在规定的资格审查时间内未向招聘单位提交有关材料的，视为自动放弃本次面试报名，逾期不再补办。对因应聘人员填报信息有误，报名材料不齐或不符合要求影响面试报名的，后果由应聘人员自负。对恶意提交报名信息，扰乱报名秩序，伪造证件或证明材料骗取考试资格的，一经查实，取消本次报考资格。</w:t>
      </w:r>
    </w:p>
    <w:p>
      <w:pPr>
        <w:rPr>
          <w:rFonts w:hint="eastAsia"/>
          <w:color w:val="auto"/>
          <w:sz w:val="22"/>
          <w:szCs w:val="28"/>
        </w:rPr>
      </w:pPr>
      <w:r>
        <w:rPr>
          <w:rFonts w:hint="eastAsia"/>
          <w:color w:val="auto"/>
          <w:sz w:val="22"/>
          <w:szCs w:val="28"/>
        </w:rPr>
        <w:t>　　面试报名资格审查结束后，对应聘人数达不到1:3比例的招聘岗位，计划招聘1人的，取消招聘计划；计划招聘2人及以上的，按规定比例相应核减招聘计划。招聘岗位为博士的，按通过资格审查的实有人数确定。取消、核减的计划通过青岛市人力资源和社会保障网（http://www.qdhrss.gov.cn）、青岛市教育局网站（http://www.qdedu.gov.cn/）予以公告，请考生及时关注。</w:t>
      </w:r>
    </w:p>
    <w:p>
      <w:pPr>
        <w:rPr>
          <w:rFonts w:hint="eastAsia"/>
          <w:color w:val="auto"/>
          <w:sz w:val="22"/>
          <w:szCs w:val="28"/>
        </w:rPr>
      </w:pPr>
      <w:r>
        <w:rPr>
          <w:rFonts w:hint="eastAsia"/>
          <w:color w:val="auto"/>
          <w:sz w:val="22"/>
          <w:szCs w:val="28"/>
        </w:rPr>
        <w:t>　　四、面试</w:t>
      </w:r>
    </w:p>
    <w:p>
      <w:pPr>
        <w:rPr>
          <w:rFonts w:hint="eastAsia"/>
          <w:color w:val="auto"/>
          <w:sz w:val="22"/>
          <w:szCs w:val="28"/>
        </w:rPr>
      </w:pPr>
      <w:r>
        <w:rPr>
          <w:rFonts w:hint="eastAsia"/>
          <w:color w:val="auto"/>
          <w:sz w:val="22"/>
          <w:szCs w:val="28"/>
        </w:rPr>
        <w:t>　　面试工作在市事业单位公开招聘主管机关和市教育局的监督指导下，由招聘单位按照事业单位公开招聘有关要求组织实施。</w:t>
      </w:r>
    </w:p>
    <w:p>
      <w:pPr>
        <w:rPr>
          <w:rFonts w:hint="eastAsia"/>
          <w:color w:val="auto"/>
          <w:sz w:val="22"/>
          <w:szCs w:val="28"/>
        </w:rPr>
      </w:pPr>
      <w:r>
        <w:rPr>
          <w:rFonts w:hint="eastAsia"/>
          <w:color w:val="auto"/>
          <w:sz w:val="22"/>
          <w:szCs w:val="28"/>
        </w:rPr>
        <w:t>　　（一）面试方式及内容</w:t>
      </w:r>
    </w:p>
    <w:p>
      <w:pPr>
        <w:rPr>
          <w:rFonts w:hint="eastAsia"/>
          <w:color w:val="auto"/>
          <w:sz w:val="22"/>
          <w:szCs w:val="28"/>
        </w:rPr>
      </w:pPr>
      <w:r>
        <w:rPr>
          <w:rFonts w:hint="eastAsia"/>
          <w:color w:val="auto"/>
          <w:sz w:val="22"/>
          <w:szCs w:val="28"/>
        </w:rPr>
        <w:t>　　教师岗位面试采用说课（讲课）和答辩相结合的方式，部分岗位增加技能测试（见附件1）；非教师岗位采用答辩和技能测试相结合的方式。说课（讲课）、答辩主要考核岗位所需的基本能力和专业水平,技能测试主要考核实践操作能力。</w:t>
      </w:r>
    </w:p>
    <w:p>
      <w:pPr>
        <w:rPr>
          <w:rFonts w:hint="eastAsia"/>
          <w:color w:val="auto"/>
          <w:sz w:val="22"/>
          <w:szCs w:val="28"/>
        </w:rPr>
      </w:pPr>
      <w:r>
        <w:rPr>
          <w:rFonts w:hint="eastAsia"/>
          <w:color w:val="auto"/>
          <w:sz w:val="22"/>
          <w:szCs w:val="28"/>
        </w:rPr>
        <w:t>　　（二）面试安排</w:t>
      </w:r>
    </w:p>
    <w:p>
      <w:pPr>
        <w:rPr>
          <w:rFonts w:hint="eastAsia"/>
          <w:color w:val="auto"/>
          <w:sz w:val="22"/>
          <w:szCs w:val="28"/>
        </w:rPr>
      </w:pPr>
      <w:r>
        <w:rPr>
          <w:rFonts w:hint="eastAsia"/>
          <w:color w:val="auto"/>
          <w:sz w:val="22"/>
          <w:szCs w:val="28"/>
        </w:rPr>
        <w:t>　　招聘单位面试工作安排在报名与资格审查结束后，具体时间及要求通过招聘单位网站（见附件1）于1月19日公布，请考生及时关注。</w:t>
      </w:r>
    </w:p>
    <w:p>
      <w:pPr>
        <w:rPr>
          <w:rFonts w:hint="eastAsia"/>
          <w:color w:val="auto"/>
          <w:sz w:val="22"/>
          <w:szCs w:val="28"/>
        </w:rPr>
      </w:pPr>
      <w:r>
        <w:rPr>
          <w:rFonts w:hint="eastAsia"/>
          <w:color w:val="auto"/>
          <w:sz w:val="22"/>
          <w:szCs w:val="28"/>
        </w:rPr>
        <w:t>　　招聘岗位资格审查合格人数超过30人无法一天完成面试的，可增加初试环节。初试采用答辩方式进行，初试成绩不带入面试。招聘单位根据初试成绩，按招聘岗位由高分到低分确定进入面试人员，原则上进入面试人员不低于30人。初试成绩和进入面试人员名单于初试当天在招聘单位网站上公布。</w:t>
      </w:r>
    </w:p>
    <w:p>
      <w:pPr>
        <w:rPr>
          <w:rFonts w:hint="eastAsia"/>
          <w:color w:val="auto"/>
          <w:sz w:val="22"/>
          <w:szCs w:val="28"/>
        </w:rPr>
      </w:pPr>
      <w:r>
        <w:rPr>
          <w:rFonts w:hint="eastAsia"/>
          <w:color w:val="auto"/>
          <w:sz w:val="22"/>
          <w:szCs w:val="28"/>
        </w:rPr>
        <w:t>　　（三）面试成绩计算</w:t>
      </w:r>
    </w:p>
    <w:p>
      <w:pPr>
        <w:rPr>
          <w:rFonts w:hint="eastAsia"/>
          <w:color w:val="auto"/>
          <w:sz w:val="22"/>
          <w:szCs w:val="28"/>
        </w:rPr>
      </w:pPr>
      <w:r>
        <w:rPr>
          <w:rFonts w:hint="eastAsia"/>
          <w:color w:val="auto"/>
          <w:sz w:val="22"/>
          <w:szCs w:val="28"/>
        </w:rPr>
        <w:t>　　面试成绩采用百分制，并计算到小数点后两位数，尾数四舍五入。面试按照说课（讲课）、答辩、技能测试环节分别由考官打分，每个环节去掉一个最高分和一个最低分后计算平均成绩。</w:t>
      </w:r>
    </w:p>
    <w:p>
      <w:pPr>
        <w:rPr>
          <w:rFonts w:hint="eastAsia"/>
          <w:color w:val="auto"/>
          <w:sz w:val="22"/>
          <w:szCs w:val="28"/>
        </w:rPr>
      </w:pPr>
      <w:r>
        <w:rPr>
          <w:rFonts w:hint="eastAsia"/>
          <w:color w:val="auto"/>
          <w:sz w:val="22"/>
          <w:szCs w:val="28"/>
        </w:rPr>
        <w:t>　　面试采用说课（讲课）、答辩两种方式的，两项满分均为100分，两项成绩分别按70%、30%比例加权计算面试成绩；面试采用说课（讲课）、答辩和技能测试方式的，三项满分均为100分，三项成绩分别按35%、15％、50%比例加权计算面试成绩；面试采用答辩和技能测试方式的，两项成绩分别按50%比例加权计算面试成绩。</w:t>
      </w:r>
    </w:p>
    <w:p>
      <w:pPr>
        <w:rPr>
          <w:rFonts w:hint="eastAsia"/>
          <w:color w:val="auto"/>
          <w:sz w:val="22"/>
          <w:szCs w:val="28"/>
        </w:rPr>
      </w:pPr>
      <w:r>
        <w:rPr>
          <w:rFonts w:hint="eastAsia"/>
          <w:color w:val="auto"/>
          <w:sz w:val="22"/>
          <w:szCs w:val="28"/>
        </w:rPr>
        <w:t>　　（四）面试成绩公布</w:t>
      </w:r>
    </w:p>
    <w:p>
      <w:pPr>
        <w:rPr>
          <w:rFonts w:hint="eastAsia"/>
          <w:color w:val="auto"/>
          <w:sz w:val="22"/>
          <w:szCs w:val="28"/>
        </w:rPr>
      </w:pPr>
      <w:r>
        <w:rPr>
          <w:rFonts w:hint="eastAsia"/>
          <w:color w:val="auto"/>
          <w:sz w:val="22"/>
          <w:szCs w:val="28"/>
        </w:rPr>
        <w:t>　　面试成绩原则上在每个岗位或每场面试结束后，由主考官当场向应聘人员宣布，并于面试当天通过招聘单位网站公布。招聘单位根据面试成绩，按招聘岗位计划人数1:3的比例，由高分到低分确定进入笔试人员。说课（讲课）、答辩、技能测试成绩中有一项低于60分的，不进入笔试范围。进入笔试人员达不到规定比例的，按实有人数确定；进入笔试人员出现空缺的岗位，取消招聘计划。</w:t>
      </w:r>
    </w:p>
    <w:p>
      <w:pPr>
        <w:rPr>
          <w:rFonts w:hint="eastAsia"/>
          <w:color w:val="auto"/>
          <w:sz w:val="22"/>
          <w:szCs w:val="28"/>
        </w:rPr>
      </w:pPr>
      <w:r>
        <w:rPr>
          <w:rFonts w:hint="eastAsia"/>
          <w:color w:val="auto"/>
          <w:sz w:val="22"/>
          <w:szCs w:val="28"/>
        </w:rPr>
        <w:t>　　博士岗位不再进行笔试，面试成绩低于60分的，不进入考察范围，进入考察范围人数出现空缺的岗位，取消招聘计划。</w:t>
      </w:r>
    </w:p>
    <w:p>
      <w:pPr>
        <w:rPr>
          <w:rFonts w:hint="eastAsia"/>
          <w:color w:val="auto"/>
          <w:sz w:val="22"/>
          <w:szCs w:val="28"/>
        </w:rPr>
      </w:pPr>
      <w:r>
        <w:rPr>
          <w:rFonts w:hint="eastAsia"/>
          <w:color w:val="auto"/>
          <w:sz w:val="22"/>
          <w:szCs w:val="28"/>
        </w:rPr>
        <w:t>　　五、笔试</w:t>
      </w:r>
    </w:p>
    <w:p>
      <w:pPr>
        <w:rPr>
          <w:rFonts w:hint="eastAsia"/>
          <w:color w:val="auto"/>
          <w:sz w:val="22"/>
          <w:szCs w:val="28"/>
        </w:rPr>
      </w:pPr>
      <w:r>
        <w:rPr>
          <w:rFonts w:hint="eastAsia"/>
          <w:color w:val="auto"/>
          <w:sz w:val="22"/>
          <w:szCs w:val="28"/>
        </w:rPr>
        <w:t>　　（一）笔试内容</w:t>
      </w:r>
    </w:p>
    <w:p>
      <w:pPr>
        <w:rPr>
          <w:rFonts w:hint="eastAsia"/>
          <w:color w:val="auto"/>
          <w:sz w:val="22"/>
          <w:szCs w:val="28"/>
        </w:rPr>
      </w:pPr>
      <w:r>
        <w:rPr>
          <w:rFonts w:hint="eastAsia"/>
          <w:color w:val="auto"/>
          <w:sz w:val="22"/>
          <w:szCs w:val="28"/>
        </w:rPr>
        <w:t>　　笔试采用省统一招聘笔试试卷，根据专业不同分为综合和教育两大类，各类均考一科，不指定教材。综合类考试内容为公共基础知识，包括法律法规、政治经济理论、时政方针、科技知识、省情省况等基础性知识和综合写作；教育类考试内容为公共基础知识和教学基础知识（包括教育学、心理学等专业知识）两部分，分别占整个试题分数的30％和70％。</w:t>
      </w:r>
    </w:p>
    <w:p>
      <w:pPr>
        <w:rPr>
          <w:rFonts w:hint="eastAsia"/>
          <w:color w:val="auto"/>
          <w:sz w:val="22"/>
          <w:szCs w:val="28"/>
        </w:rPr>
      </w:pPr>
      <w:r>
        <w:rPr>
          <w:rFonts w:hint="eastAsia"/>
          <w:color w:val="auto"/>
          <w:sz w:val="22"/>
          <w:szCs w:val="28"/>
        </w:rPr>
        <w:t>　　（二）笔试报名</w:t>
      </w:r>
    </w:p>
    <w:p>
      <w:pPr>
        <w:rPr>
          <w:rFonts w:hint="eastAsia"/>
          <w:color w:val="auto"/>
          <w:sz w:val="22"/>
          <w:szCs w:val="28"/>
        </w:rPr>
      </w:pPr>
      <w:r>
        <w:rPr>
          <w:rFonts w:hint="eastAsia"/>
          <w:color w:val="auto"/>
          <w:sz w:val="22"/>
          <w:szCs w:val="28"/>
        </w:rPr>
        <w:t>　　笔试报名采取统一时间、网上报名、网上审查、网上缴费的方式。进入笔试范围人员在规定时间登陆青岛市人事考试网（http：//rsks.qdhrss.gov.cn），按照青岛市事业单位公开招聘笔试报名的相关规定和报考岗位对应的笔试类别（见附件1）进行笔试报名,如实填写、提交相关个人信息资料并按要求上传照片。</w:t>
      </w:r>
    </w:p>
    <w:p>
      <w:pPr>
        <w:rPr>
          <w:rFonts w:hint="eastAsia"/>
          <w:color w:val="auto"/>
          <w:sz w:val="22"/>
          <w:szCs w:val="28"/>
        </w:rPr>
      </w:pPr>
      <w:r>
        <w:rPr>
          <w:rFonts w:hint="eastAsia"/>
          <w:color w:val="auto"/>
          <w:sz w:val="22"/>
          <w:szCs w:val="28"/>
        </w:rPr>
        <w:t>　　应聘人员笔试报名时只能报考本人面试通过的岗位，不得报考其他招聘岗位。未获得相应岗位笔试资格的人员不得再报考本简章招聘岗位。应聘人员在资格审查前多次登录填交报名信息的，后一次填报自动替换前一次填报信息。报名资格一经审查通过，不能更改个人信息。应聘人员必须使用与面试时一致的二代身份证报名。</w:t>
      </w:r>
    </w:p>
    <w:p>
      <w:pPr>
        <w:rPr>
          <w:rFonts w:hint="eastAsia"/>
          <w:color w:val="auto"/>
          <w:sz w:val="22"/>
          <w:szCs w:val="28"/>
        </w:rPr>
      </w:pPr>
      <w:r>
        <w:rPr>
          <w:rFonts w:hint="eastAsia"/>
          <w:color w:val="auto"/>
          <w:sz w:val="22"/>
          <w:szCs w:val="28"/>
        </w:rPr>
        <w:t>　　（三）资格审查及缴费</w:t>
      </w:r>
    </w:p>
    <w:p>
      <w:pPr>
        <w:rPr>
          <w:rFonts w:hint="eastAsia"/>
          <w:color w:val="auto"/>
          <w:sz w:val="22"/>
          <w:szCs w:val="28"/>
        </w:rPr>
      </w:pPr>
      <w:r>
        <w:rPr>
          <w:rFonts w:hint="eastAsia"/>
          <w:color w:val="auto"/>
          <w:sz w:val="22"/>
          <w:szCs w:val="28"/>
        </w:rPr>
        <w:t>　　招聘单位在报名期间查看本单位的网上报名情况，进行资格审查。应聘人员应及时登录报名网站查询本人报名信息审查情况。经审查通过的人员，须按规定时间进行网上缴费（40元/人），网上缴费成功即完成笔试报名，可在规定时间登录报名网站，下载打印《准考证》。</w:t>
      </w:r>
    </w:p>
    <w:p>
      <w:pPr>
        <w:rPr>
          <w:rFonts w:hint="eastAsia"/>
          <w:color w:val="auto"/>
          <w:sz w:val="22"/>
          <w:szCs w:val="28"/>
        </w:rPr>
      </w:pPr>
      <w:r>
        <w:rPr>
          <w:rFonts w:hint="eastAsia"/>
          <w:color w:val="auto"/>
          <w:sz w:val="22"/>
          <w:szCs w:val="28"/>
        </w:rPr>
        <w:t>　　进入笔试范围人员逾期未进行笔试报名或未完成网上缴费手续的，视作弃考，取消其笔试资格。</w:t>
      </w:r>
    </w:p>
    <w:p>
      <w:pPr>
        <w:rPr>
          <w:rFonts w:hint="eastAsia"/>
          <w:color w:val="auto"/>
          <w:sz w:val="22"/>
          <w:szCs w:val="28"/>
        </w:rPr>
      </w:pPr>
      <w:r>
        <w:rPr>
          <w:rFonts w:hint="eastAsia"/>
          <w:color w:val="auto"/>
          <w:sz w:val="22"/>
          <w:szCs w:val="28"/>
        </w:rPr>
        <w:t>　　（四）笔试各阶段时间</w:t>
      </w:r>
    </w:p>
    <w:p>
      <w:pPr>
        <w:rPr>
          <w:rFonts w:hint="eastAsia"/>
          <w:color w:val="auto"/>
          <w:sz w:val="22"/>
          <w:szCs w:val="28"/>
        </w:rPr>
      </w:pPr>
      <w:r>
        <w:rPr>
          <w:rFonts w:hint="eastAsia"/>
          <w:color w:val="auto"/>
          <w:sz w:val="22"/>
          <w:szCs w:val="28"/>
        </w:rPr>
        <w:t>　　1.网上报名：2018年1月22日 9:00—1月24日16:00；</w:t>
      </w:r>
    </w:p>
    <w:p>
      <w:pPr>
        <w:rPr>
          <w:rFonts w:hint="eastAsia"/>
          <w:color w:val="auto"/>
          <w:sz w:val="22"/>
          <w:szCs w:val="28"/>
        </w:rPr>
      </w:pPr>
      <w:r>
        <w:rPr>
          <w:rFonts w:hint="eastAsia"/>
          <w:color w:val="auto"/>
          <w:sz w:val="22"/>
          <w:szCs w:val="28"/>
        </w:rPr>
        <w:t>　　2.网上审核：2018年1月22日14:00—1月25日16:00；</w:t>
      </w:r>
    </w:p>
    <w:p>
      <w:pPr>
        <w:rPr>
          <w:rFonts w:hint="eastAsia"/>
          <w:color w:val="auto"/>
          <w:sz w:val="22"/>
          <w:szCs w:val="28"/>
        </w:rPr>
      </w:pPr>
      <w:r>
        <w:rPr>
          <w:rFonts w:hint="eastAsia"/>
          <w:color w:val="auto"/>
          <w:sz w:val="22"/>
          <w:szCs w:val="28"/>
        </w:rPr>
        <w:t>　　3.查询及网上缴费：2018年1月22日14:00—1月26日16:00；</w:t>
      </w:r>
    </w:p>
    <w:p>
      <w:pPr>
        <w:rPr>
          <w:rFonts w:hint="eastAsia"/>
          <w:color w:val="auto"/>
          <w:sz w:val="22"/>
          <w:szCs w:val="28"/>
        </w:rPr>
      </w:pPr>
      <w:r>
        <w:rPr>
          <w:rFonts w:hint="eastAsia"/>
          <w:color w:val="auto"/>
          <w:sz w:val="22"/>
          <w:szCs w:val="28"/>
        </w:rPr>
        <w:t>　　4.打印准考证：2018年3月13日9:00—3月18日14:30；</w:t>
      </w:r>
    </w:p>
    <w:p>
      <w:pPr>
        <w:rPr>
          <w:rFonts w:hint="eastAsia"/>
          <w:color w:val="auto"/>
          <w:sz w:val="22"/>
          <w:szCs w:val="28"/>
        </w:rPr>
      </w:pPr>
      <w:r>
        <w:rPr>
          <w:rFonts w:hint="eastAsia"/>
          <w:color w:val="auto"/>
          <w:sz w:val="22"/>
          <w:szCs w:val="28"/>
        </w:rPr>
        <w:t>　　5.笔试时间：2018年3月18日上午9：00-11:30（综合类），下午 14:00—16:30（教育类）。</w:t>
      </w:r>
    </w:p>
    <w:p>
      <w:pPr>
        <w:rPr>
          <w:rFonts w:hint="eastAsia"/>
          <w:color w:val="auto"/>
          <w:sz w:val="22"/>
          <w:szCs w:val="28"/>
        </w:rPr>
      </w:pPr>
      <w:r>
        <w:rPr>
          <w:rFonts w:hint="eastAsia"/>
          <w:color w:val="auto"/>
          <w:sz w:val="22"/>
          <w:szCs w:val="28"/>
        </w:rPr>
        <w:t>　　笔试采取百分制计分。笔试成绩通过青岛市人力资源和社会保障局网站（http://www.qdhrss.gov.cn）发布，应聘人员应及时关注、查询。</w:t>
      </w:r>
    </w:p>
    <w:p>
      <w:pPr>
        <w:rPr>
          <w:rFonts w:hint="eastAsia"/>
          <w:color w:val="auto"/>
          <w:sz w:val="22"/>
          <w:szCs w:val="28"/>
        </w:rPr>
      </w:pPr>
      <w:r>
        <w:rPr>
          <w:rFonts w:hint="eastAsia"/>
          <w:color w:val="auto"/>
          <w:sz w:val="22"/>
          <w:szCs w:val="28"/>
        </w:rPr>
        <w:t>　　六、考察、体检和聘用</w:t>
      </w:r>
    </w:p>
    <w:p>
      <w:pPr>
        <w:rPr>
          <w:rFonts w:hint="eastAsia"/>
          <w:color w:val="auto"/>
          <w:sz w:val="22"/>
          <w:szCs w:val="28"/>
        </w:rPr>
      </w:pPr>
      <w:r>
        <w:rPr>
          <w:rFonts w:hint="eastAsia"/>
          <w:color w:val="auto"/>
          <w:sz w:val="22"/>
          <w:szCs w:val="28"/>
        </w:rPr>
        <w:t>　　（一）进入考察体检范围人员确定</w:t>
      </w:r>
    </w:p>
    <w:p>
      <w:pPr>
        <w:rPr>
          <w:rFonts w:hint="eastAsia"/>
          <w:color w:val="auto"/>
          <w:sz w:val="22"/>
          <w:szCs w:val="28"/>
        </w:rPr>
      </w:pPr>
      <w:r>
        <w:rPr>
          <w:rFonts w:hint="eastAsia"/>
          <w:color w:val="auto"/>
          <w:sz w:val="22"/>
          <w:szCs w:val="28"/>
        </w:rPr>
        <w:t>　　1.总成绩核算。笔试成绩采取百分制。有笔试要求的岗位，应聘人员面试成绩和笔试成绩分别按30%、70%比例加权计算应聘人员总成绩，总成绩精确到小数点后2位，尾数四舍五入。不进行笔试的岗位，应聘人员面试成绩即为总成绩。</w:t>
      </w:r>
    </w:p>
    <w:p>
      <w:pPr>
        <w:rPr>
          <w:rFonts w:hint="eastAsia"/>
          <w:color w:val="auto"/>
          <w:sz w:val="22"/>
          <w:szCs w:val="28"/>
        </w:rPr>
      </w:pPr>
      <w:r>
        <w:rPr>
          <w:rFonts w:hint="eastAsia"/>
          <w:color w:val="auto"/>
          <w:sz w:val="22"/>
          <w:szCs w:val="28"/>
        </w:rPr>
        <w:t>　　同一招聘计划中出现两名及以上应聘人员总成绩相同时，有笔试要求的岗位，取笔试成绩较高者。不进行笔试的岗位，则按照所取得的成果、获得的荣誉称号等项目由高到低排序确定。</w:t>
      </w:r>
    </w:p>
    <w:p>
      <w:pPr>
        <w:rPr>
          <w:rFonts w:hint="eastAsia"/>
          <w:color w:val="auto"/>
          <w:sz w:val="22"/>
          <w:szCs w:val="28"/>
        </w:rPr>
      </w:pPr>
      <w:r>
        <w:rPr>
          <w:rFonts w:hint="eastAsia"/>
          <w:color w:val="auto"/>
          <w:sz w:val="22"/>
          <w:szCs w:val="28"/>
        </w:rPr>
        <w:t>　　2.考察体检范围确定。根据应聘人员总成绩，按招聘岗位计划人数1:1.5的比例，由高分到低分确定进入考察体检范围人选，通过青岛市教育局网站公布。其中，按招聘岗位计划人数1:1的比例进行考察体检；对放弃考察、体检资格或考察、体检不合格造成的空缺，从进入同一岗位考察体检范围的人员中依次等额递补。</w:t>
      </w:r>
    </w:p>
    <w:p>
      <w:pPr>
        <w:rPr>
          <w:rFonts w:hint="eastAsia"/>
          <w:color w:val="auto"/>
          <w:sz w:val="22"/>
          <w:szCs w:val="28"/>
        </w:rPr>
      </w:pPr>
      <w:r>
        <w:rPr>
          <w:rFonts w:hint="eastAsia"/>
          <w:color w:val="auto"/>
          <w:sz w:val="22"/>
          <w:szCs w:val="28"/>
        </w:rPr>
        <w:t>　　3.为保证新进人员基本素质，青岛市事业单位公开招聘主管机关根据岗位招聘人数和笔试情况设定笔试最低合格分数线。笔试成绩低于最低合格分数线的，不进入考察范围，笔试成绩达最低合格分数线人数出现空缺的岗位，取消招聘计划。</w:t>
      </w:r>
    </w:p>
    <w:p>
      <w:pPr>
        <w:rPr>
          <w:rFonts w:hint="eastAsia"/>
          <w:color w:val="auto"/>
          <w:sz w:val="22"/>
          <w:szCs w:val="28"/>
        </w:rPr>
      </w:pPr>
      <w:r>
        <w:rPr>
          <w:rFonts w:hint="eastAsia"/>
          <w:color w:val="auto"/>
          <w:sz w:val="22"/>
          <w:szCs w:val="28"/>
        </w:rPr>
        <w:t>　　（二）考察、体检</w:t>
      </w:r>
    </w:p>
    <w:p>
      <w:pPr>
        <w:rPr>
          <w:rFonts w:hint="eastAsia"/>
          <w:color w:val="auto"/>
          <w:sz w:val="22"/>
          <w:szCs w:val="28"/>
        </w:rPr>
      </w:pPr>
      <w:r>
        <w:rPr>
          <w:rFonts w:hint="eastAsia"/>
          <w:color w:val="auto"/>
          <w:sz w:val="22"/>
          <w:szCs w:val="28"/>
        </w:rPr>
        <w:t>　　按照德才兼备标准和岗位要求，全面了解进入考察范围人员思想政治表现、道德品质、工作实绩以及回避制度执行等方面情况，并对考察对象进行资格复查，形成书面考察意见。</w:t>
      </w:r>
    </w:p>
    <w:p>
      <w:pPr>
        <w:rPr>
          <w:rFonts w:hint="eastAsia"/>
          <w:color w:val="auto"/>
          <w:sz w:val="22"/>
          <w:szCs w:val="28"/>
        </w:rPr>
      </w:pPr>
      <w:r>
        <w:rPr>
          <w:rFonts w:hint="eastAsia"/>
          <w:color w:val="auto"/>
          <w:sz w:val="22"/>
          <w:szCs w:val="28"/>
        </w:rPr>
        <w:t>　　体检一般在县级以上综合性医院进行，体检标准和项目参照《关于修订〈公务员录用体检通用标准（试行）〉及〈公务员录用体检操作手册（试行）〉的通知》（人社部发〔2016〕140号）执行，国家另有规定的从其规定。体检费用由应聘人员自理。</w:t>
      </w:r>
    </w:p>
    <w:p>
      <w:pPr>
        <w:rPr>
          <w:rFonts w:hint="eastAsia"/>
          <w:color w:val="auto"/>
          <w:sz w:val="22"/>
          <w:szCs w:val="28"/>
        </w:rPr>
      </w:pPr>
      <w:r>
        <w:rPr>
          <w:rFonts w:hint="eastAsia"/>
          <w:color w:val="auto"/>
          <w:sz w:val="22"/>
          <w:szCs w:val="28"/>
        </w:rPr>
        <w:t>　　青岛市教育局网站将及时发布考察、体检工作信息，应聘人员应及时关注，按时参加。未按规定时间、地点参加体检的，视为自动放弃。</w:t>
      </w:r>
    </w:p>
    <w:p>
      <w:pPr>
        <w:rPr>
          <w:rFonts w:hint="eastAsia"/>
          <w:color w:val="auto"/>
          <w:sz w:val="22"/>
          <w:szCs w:val="28"/>
        </w:rPr>
      </w:pPr>
      <w:r>
        <w:rPr>
          <w:rFonts w:hint="eastAsia"/>
          <w:color w:val="auto"/>
          <w:sz w:val="22"/>
          <w:szCs w:val="28"/>
        </w:rPr>
        <w:t>　　（三）公示和聘用</w:t>
      </w:r>
    </w:p>
    <w:p>
      <w:pPr>
        <w:rPr>
          <w:rFonts w:hint="eastAsia"/>
          <w:color w:val="auto"/>
          <w:sz w:val="22"/>
          <w:szCs w:val="28"/>
        </w:rPr>
      </w:pPr>
      <w:r>
        <w:rPr>
          <w:rFonts w:hint="eastAsia"/>
          <w:color w:val="auto"/>
          <w:sz w:val="22"/>
          <w:szCs w:val="28"/>
        </w:rPr>
        <w:t>　　1.考察、体检后，确定拟聘用人员，在青岛市人力资源和社会保障网、青岛市教育局网站进行公示，公示期为5个工作日。公示期满无异议或者反映问题不影响聘用的，由青岛市教育局提出聘用意见，连同资格审查、面试、考察体检等原始资料报青岛市事业单位公开招聘主管机关审核、备案，对符合聘用条件的，由招聘单位和聘用人员按规定签订劳动合同；对反映问题影响聘用并查实的，不予聘用。拟聘用人员名单公示后不再递补。</w:t>
      </w:r>
    </w:p>
    <w:p>
      <w:pPr>
        <w:rPr>
          <w:rFonts w:hint="eastAsia"/>
          <w:color w:val="auto"/>
          <w:sz w:val="22"/>
          <w:szCs w:val="28"/>
        </w:rPr>
      </w:pPr>
      <w:r>
        <w:rPr>
          <w:rFonts w:hint="eastAsia"/>
          <w:color w:val="auto"/>
          <w:sz w:val="22"/>
          <w:szCs w:val="28"/>
        </w:rPr>
        <w:t>　　2.2018届毕业生，在2018年7月15日前不能提供相关学历、学位证书的，取消聘用资格。</w:t>
      </w:r>
    </w:p>
    <w:p>
      <w:pPr>
        <w:rPr>
          <w:rFonts w:hint="eastAsia"/>
          <w:color w:val="auto"/>
          <w:sz w:val="22"/>
          <w:szCs w:val="28"/>
        </w:rPr>
      </w:pPr>
      <w:r>
        <w:rPr>
          <w:rFonts w:hint="eastAsia"/>
          <w:color w:val="auto"/>
          <w:sz w:val="22"/>
          <w:szCs w:val="28"/>
        </w:rPr>
        <w:t>　　3.报考教师岗位的应聘人员，报名时未取得教师资格证书，在办理聘用手续前仍不能提供教师资格证书的，取消聘用资格。</w:t>
      </w:r>
    </w:p>
    <w:p>
      <w:pPr>
        <w:rPr>
          <w:rFonts w:hint="eastAsia"/>
          <w:color w:val="auto"/>
          <w:sz w:val="22"/>
          <w:szCs w:val="28"/>
        </w:rPr>
      </w:pPr>
      <w:r>
        <w:rPr>
          <w:rFonts w:hint="eastAsia"/>
          <w:color w:val="auto"/>
          <w:sz w:val="22"/>
          <w:szCs w:val="28"/>
        </w:rPr>
        <w:t>　　4.聘用制工作人员按规定与招聘单位签订劳动合同，建立劳动关系。聘用制人员与在编人员统一管理，工资发放标准和支付渠道等参照事业单位在编人员执行。</w:t>
      </w:r>
    </w:p>
    <w:p>
      <w:pPr>
        <w:rPr>
          <w:rFonts w:hint="eastAsia"/>
          <w:color w:val="auto"/>
          <w:sz w:val="22"/>
          <w:szCs w:val="28"/>
        </w:rPr>
      </w:pPr>
      <w:r>
        <w:rPr>
          <w:rFonts w:hint="eastAsia"/>
          <w:color w:val="auto"/>
          <w:sz w:val="22"/>
          <w:szCs w:val="28"/>
        </w:rPr>
        <w:t>　　七、其他事项</w:t>
      </w:r>
    </w:p>
    <w:p>
      <w:pPr>
        <w:rPr>
          <w:rFonts w:hint="eastAsia"/>
          <w:color w:val="auto"/>
          <w:sz w:val="22"/>
          <w:szCs w:val="28"/>
        </w:rPr>
      </w:pPr>
      <w:r>
        <w:rPr>
          <w:rFonts w:hint="eastAsia"/>
          <w:color w:val="auto"/>
          <w:sz w:val="22"/>
          <w:szCs w:val="28"/>
        </w:rPr>
        <w:t>　　（一）公开招聘实行全程监督，工作人员和应聘人员要严格按照招聘简章、面试方案及有关政策规定执行，如有弄虚作假，徇私舞弊等违反公开招聘考试纪律行为的，一经查实，将参照《事业单位公开招聘违纪违规行为处理规定》（中华人民共和国人力资源和社会保障部令第35号）的有关规定严肃处理。</w:t>
      </w:r>
    </w:p>
    <w:p>
      <w:pPr>
        <w:rPr>
          <w:rFonts w:hint="eastAsia"/>
          <w:color w:val="auto"/>
          <w:sz w:val="22"/>
          <w:szCs w:val="28"/>
        </w:rPr>
      </w:pPr>
      <w:r>
        <w:rPr>
          <w:rFonts w:hint="eastAsia"/>
          <w:color w:val="auto"/>
          <w:sz w:val="22"/>
          <w:szCs w:val="28"/>
        </w:rPr>
        <w:t>　　（二）应聘人员在报考期间，应及时了解相关网站发布的信息，因本人原因错过重要信息而影响考试、聘用的，责任自负。</w:t>
      </w:r>
    </w:p>
    <w:p>
      <w:pPr>
        <w:rPr>
          <w:rFonts w:hint="eastAsia"/>
          <w:color w:val="auto"/>
          <w:sz w:val="22"/>
          <w:szCs w:val="28"/>
        </w:rPr>
      </w:pPr>
      <w:r>
        <w:rPr>
          <w:rFonts w:hint="eastAsia"/>
          <w:color w:val="auto"/>
          <w:sz w:val="22"/>
          <w:szCs w:val="28"/>
        </w:rPr>
        <w:t>　　（三）事业单位招聘工作咨询电话和教育局招聘监督电话详见附件1，笔试网上报考技术咨询电话：15588683585。请在工作时间段（工作日上午9:00-11:30，下午1:30-5:30）拨打以上电话。</w:t>
      </w:r>
    </w:p>
    <w:p>
      <w:pPr>
        <w:rPr>
          <w:rFonts w:hint="eastAsia"/>
          <w:color w:val="auto"/>
          <w:sz w:val="22"/>
          <w:szCs w:val="28"/>
        </w:rPr>
      </w:pPr>
      <w:r>
        <w:rPr>
          <w:rFonts w:hint="eastAsia"/>
          <w:color w:val="auto"/>
          <w:sz w:val="22"/>
          <w:szCs w:val="28"/>
        </w:rPr>
        <w:t xml:space="preserve"> </w:t>
      </w:r>
    </w:p>
    <w:p>
      <w:pPr>
        <w:rPr>
          <w:rFonts w:hint="eastAsia"/>
        </w:rPr>
      </w:pPr>
      <w:r>
        <w:rPr>
          <w:rFonts w:hint="eastAsia"/>
        </w:rPr>
        <w:t xml:space="preserve">   　</w:t>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spacing w:line="520" w:lineRule="exact"/>
        <w:rPr>
          <w:rFonts w:hint="eastAsia" w:ascii="黑体" w:hAnsi="文星标宋" w:eastAsia="黑体"/>
          <w:sz w:val="32"/>
          <w:szCs w:val="32"/>
        </w:rPr>
      </w:pPr>
      <w:r>
        <w:rPr>
          <w:rFonts w:hint="eastAsia" w:ascii="黑体" w:hAnsi="文星标宋" w:eastAsia="黑体"/>
          <w:sz w:val="32"/>
          <w:szCs w:val="32"/>
        </w:rPr>
        <w:t>附件2：</w:t>
      </w:r>
    </w:p>
    <w:p>
      <w:pPr>
        <w:ind w:right="560" w:firstLine="4750" w:firstLineChars="1690"/>
        <w:rPr>
          <w:rFonts w:hint="eastAsia" w:ascii="楷体" w:hAnsi="楷体" w:eastAsia="楷体"/>
          <w:b/>
          <w:sz w:val="28"/>
          <w:szCs w:val="28"/>
        </w:rPr>
      </w:pPr>
      <w:r>
        <w:rPr>
          <w:rFonts w:hint="eastAsia" w:ascii="楷体" w:hAnsi="楷体" w:eastAsia="楷体"/>
          <w:b/>
          <w:sz w:val="28"/>
          <w:szCs w:val="28"/>
        </w:rPr>
        <w:t>报名序号（招聘学校填写）：</w:t>
      </w:r>
    </w:p>
    <w:p>
      <w:pPr>
        <w:spacing w:line="400" w:lineRule="exact"/>
        <w:jc w:val="center"/>
        <w:rPr>
          <w:rFonts w:hint="eastAsia" w:ascii="华文中宋" w:hAnsi="华文中宋" w:eastAsia="华文中宋"/>
          <w:spacing w:val="-20"/>
          <w:sz w:val="36"/>
          <w:szCs w:val="36"/>
        </w:rPr>
      </w:pPr>
      <w:r>
        <w:rPr>
          <w:rFonts w:hint="eastAsia" w:ascii="华文中宋" w:hAnsi="华文中宋" w:eastAsia="华文中宋"/>
          <w:spacing w:val="-20"/>
          <w:sz w:val="36"/>
          <w:szCs w:val="36"/>
        </w:rPr>
        <w:t>青岛市教育局直属学校面试前置公开招聘工作人员</w:t>
      </w:r>
    </w:p>
    <w:p>
      <w:pPr>
        <w:spacing w:line="400" w:lineRule="exact"/>
        <w:jc w:val="center"/>
        <w:rPr>
          <w:rFonts w:hint="eastAsia" w:ascii="华文中宋" w:hAnsi="华文中宋" w:eastAsia="华文中宋"/>
          <w:spacing w:val="-20"/>
          <w:sz w:val="36"/>
          <w:szCs w:val="36"/>
        </w:rPr>
      </w:pPr>
      <w:r>
        <w:rPr>
          <w:rFonts w:hint="eastAsia" w:ascii="华文中宋" w:hAnsi="华文中宋" w:eastAsia="华文中宋"/>
          <w:spacing w:val="-20"/>
          <w:sz w:val="36"/>
          <w:szCs w:val="36"/>
        </w:rPr>
        <w:t>报名登记表</w:t>
      </w:r>
    </w:p>
    <w:p>
      <w:pPr>
        <w:spacing w:line="200" w:lineRule="exact"/>
        <w:jc w:val="center"/>
        <w:rPr>
          <w:rFonts w:hint="eastAsia" w:ascii="华文中宋" w:hAnsi="华文中宋" w:eastAsia="华文中宋"/>
          <w:spacing w:val="-20"/>
          <w:sz w:val="36"/>
          <w:szCs w:val="36"/>
        </w:rPr>
      </w:pPr>
    </w:p>
    <w:p>
      <w:pPr>
        <w:spacing w:line="360" w:lineRule="exact"/>
        <w:rPr>
          <w:rFonts w:hint="eastAsia" w:ascii="宋体" w:hAnsi="宋体"/>
          <w:sz w:val="28"/>
          <w:szCs w:val="28"/>
        </w:rPr>
      </w:pPr>
      <w:r>
        <w:rPr>
          <w:rFonts w:hint="eastAsia" w:ascii="宋体" w:hAnsi="宋体"/>
          <w:sz w:val="28"/>
          <w:szCs w:val="28"/>
        </w:rPr>
        <w:t>应聘学校：                      应聘岗位名称：</w:t>
      </w:r>
    </w:p>
    <w:p>
      <w:pPr>
        <w:spacing w:line="360" w:lineRule="exact"/>
        <w:rPr>
          <w:rFonts w:hint="eastAsia" w:ascii="宋体" w:hAnsi="宋体"/>
          <w:sz w:val="28"/>
          <w:szCs w:val="28"/>
        </w:rPr>
      </w:pPr>
      <w:r>
        <w:rPr>
          <w:rFonts w:hint="eastAsia" w:ascii="宋体" w:hAnsi="宋体"/>
          <w:sz w:val="28"/>
          <w:szCs w:val="28"/>
        </w:rPr>
        <w:t>应聘学校代码：                  应聘岗位代码:</w:t>
      </w:r>
    </w:p>
    <w:tbl>
      <w:tblPr>
        <w:tblStyle w:val="4"/>
        <w:tblW w:w="9180" w:type="dxa"/>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1519"/>
        <w:gridCol w:w="690"/>
        <w:gridCol w:w="167"/>
        <w:gridCol w:w="536"/>
        <w:gridCol w:w="290"/>
        <w:gridCol w:w="389"/>
        <w:gridCol w:w="46"/>
        <w:gridCol w:w="416"/>
        <w:gridCol w:w="450"/>
        <w:gridCol w:w="112"/>
        <w:gridCol w:w="295"/>
        <w:gridCol w:w="137"/>
        <w:gridCol w:w="280"/>
        <w:gridCol w:w="430"/>
        <w:gridCol w:w="16"/>
        <w:gridCol w:w="1286"/>
        <w:gridCol w:w="1273"/>
        <w:gridCol w:w="47"/>
        <w:gridCol w:w="801"/>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12" w:hRule="atLeast"/>
        </w:trPr>
        <w:tc>
          <w:tcPr>
            <w:tcW w:w="1519" w:type="dxa"/>
            <w:vAlign w:val="center"/>
          </w:tcPr>
          <w:p>
            <w:pPr>
              <w:spacing w:line="400" w:lineRule="exact"/>
              <w:jc w:val="center"/>
              <w:rPr>
                <w:rFonts w:ascii="宋体" w:hAnsi="宋体"/>
                <w:sz w:val="24"/>
                <w:szCs w:val="24"/>
              </w:rPr>
            </w:pPr>
            <w:r>
              <w:rPr>
                <w:rFonts w:hint="eastAsia" w:ascii="宋体" w:hAnsi="宋体"/>
                <w:sz w:val="24"/>
                <w:szCs w:val="24"/>
              </w:rPr>
              <w:t>姓名</w:t>
            </w:r>
          </w:p>
        </w:tc>
        <w:tc>
          <w:tcPr>
            <w:tcW w:w="1393" w:type="dxa"/>
            <w:gridSpan w:val="3"/>
            <w:vAlign w:val="center"/>
          </w:tcPr>
          <w:p>
            <w:pPr>
              <w:spacing w:line="400" w:lineRule="exact"/>
              <w:jc w:val="center"/>
              <w:rPr>
                <w:rFonts w:ascii="宋体" w:hAnsi="宋体"/>
                <w:sz w:val="24"/>
                <w:szCs w:val="24"/>
              </w:rPr>
            </w:pPr>
          </w:p>
        </w:tc>
        <w:tc>
          <w:tcPr>
            <w:tcW w:w="725" w:type="dxa"/>
            <w:gridSpan w:val="3"/>
            <w:vAlign w:val="center"/>
          </w:tcPr>
          <w:p>
            <w:pPr>
              <w:spacing w:line="400" w:lineRule="exact"/>
              <w:jc w:val="center"/>
              <w:rPr>
                <w:rFonts w:ascii="宋体" w:hAnsi="宋体"/>
                <w:sz w:val="24"/>
                <w:szCs w:val="24"/>
              </w:rPr>
            </w:pPr>
            <w:r>
              <w:rPr>
                <w:rFonts w:hint="eastAsia" w:ascii="宋体" w:hAnsi="宋体"/>
                <w:sz w:val="24"/>
                <w:szCs w:val="24"/>
              </w:rPr>
              <w:t>性别</w:t>
            </w:r>
          </w:p>
        </w:tc>
        <w:tc>
          <w:tcPr>
            <w:tcW w:w="978" w:type="dxa"/>
            <w:gridSpan w:val="3"/>
            <w:vAlign w:val="center"/>
          </w:tcPr>
          <w:p>
            <w:pPr>
              <w:spacing w:line="400" w:lineRule="exact"/>
              <w:jc w:val="center"/>
              <w:rPr>
                <w:rFonts w:ascii="宋体" w:hAnsi="宋体"/>
                <w:sz w:val="24"/>
                <w:szCs w:val="24"/>
              </w:rPr>
            </w:pPr>
          </w:p>
        </w:tc>
        <w:tc>
          <w:tcPr>
            <w:tcW w:w="712" w:type="dxa"/>
            <w:gridSpan w:val="3"/>
            <w:vAlign w:val="center"/>
          </w:tcPr>
          <w:p>
            <w:pPr>
              <w:spacing w:line="400" w:lineRule="exact"/>
              <w:jc w:val="center"/>
              <w:rPr>
                <w:rFonts w:ascii="宋体" w:hAnsi="宋体"/>
                <w:sz w:val="24"/>
                <w:szCs w:val="24"/>
              </w:rPr>
            </w:pPr>
            <w:r>
              <w:rPr>
                <w:rFonts w:hint="eastAsia" w:ascii="宋体" w:hAnsi="宋体"/>
                <w:sz w:val="24"/>
                <w:szCs w:val="24"/>
              </w:rPr>
              <w:t>国籍</w:t>
            </w:r>
          </w:p>
        </w:tc>
        <w:tc>
          <w:tcPr>
            <w:tcW w:w="1732" w:type="dxa"/>
            <w:gridSpan w:val="3"/>
            <w:vAlign w:val="center"/>
          </w:tcPr>
          <w:p>
            <w:pPr>
              <w:spacing w:line="400" w:lineRule="exact"/>
              <w:jc w:val="center"/>
              <w:rPr>
                <w:rFonts w:ascii="宋体" w:hAnsi="宋体"/>
                <w:sz w:val="24"/>
                <w:szCs w:val="24"/>
              </w:rPr>
            </w:pPr>
          </w:p>
        </w:tc>
        <w:tc>
          <w:tcPr>
            <w:tcW w:w="2121" w:type="dxa"/>
            <w:gridSpan w:val="3"/>
            <w:vMerge w:val="restart"/>
            <w:vAlign w:val="center"/>
          </w:tcPr>
          <w:p>
            <w:pPr>
              <w:spacing w:line="400" w:lineRule="exact"/>
              <w:rPr>
                <w:rFonts w:hint="eastAsia" w:ascii="宋体" w:hAnsi="宋体"/>
                <w:sz w:val="24"/>
                <w:szCs w:val="24"/>
              </w:rPr>
            </w:pPr>
            <w:r>
              <w:rPr>
                <w:rFonts w:hint="eastAsia" w:ascii="宋体" w:hAnsi="宋体"/>
                <w:sz w:val="24"/>
                <w:szCs w:val="24"/>
              </w:rPr>
              <w:t>(插入本人近期正面免冠2吋彩色</w:t>
            </w:r>
            <w:r>
              <w:rPr>
                <w:rFonts w:hint="eastAsia" w:ascii="宋体" w:hAnsi="宋体"/>
                <w:b/>
                <w:sz w:val="24"/>
                <w:szCs w:val="24"/>
              </w:rPr>
              <w:t>电子照片</w:t>
            </w:r>
            <w:r>
              <w:rPr>
                <w:rFonts w:hint="eastAsia" w:ascii="宋体" w:hAnsi="宋体"/>
                <w:sz w:val="24"/>
                <w:szCs w:val="24"/>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95" w:hRule="atLeast"/>
        </w:trPr>
        <w:tc>
          <w:tcPr>
            <w:tcW w:w="1519" w:type="dxa"/>
            <w:vAlign w:val="center"/>
          </w:tcPr>
          <w:p>
            <w:pPr>
              <w:spacing w:line="280" w:lineRule="exact"/>
              <w:jc w:val="center"/>
              <w:rPr>
                <w:rFonts w:ascii="宋体" w:hAnsi="宋体"/>
                <w:sz w:val="24"/>
                <w:szCs w:val="24"/>
              </w:rPr>
            </w:pPr>
            <w:r>
              <w:rPr>
                <w:rFonts w:hint="eastAsia" w:ascii="宋体" w:hAnsi="宋体"/>
                <w:sz w:val="24"/>
                <w:szCs w:val="24"/>
              </w:rPr>
              <w:t>政治面貌</w:t>
            </w:r>
          </w:p>
        </w:tc>
        <w:tc>
          <w:tcPr>
            <w:tcW w:w="1393" w:type="dxa"/>
            <w:gridSpan w:val="3"/>
            <w:vAlign w:val="center"/>
          </w:tcPr>
          <w:p>
            <w:pPr>
              <w:spacing w:line="280" w:lineRule="exact"/>
              <w:jc w:val="center"/>
              <w:rPr>
                <w:rFonts w:ascii="宋体" w:hAnsi="宋体"/>
                <w:sz w:val="24"/>
                <w:szCs w:val="24"/>
              </w:rPr>
            </w:pPr>
          </w:p>
        </w:tc>
        <w:tc>
          <w:tcPr>
            <w:tcW w:w="1703" w:type="dxa"/>
            <w:gridSpan w:val="6"/>
            <w:vAlign w:val="center"/>
          </w:tcPr>
          <w:p>
            <w:pPr>
              <w:spacing w:line="280" w:lineRule="exact"/>
              <w:jc w:val="center"/>
              <w:rPr>
                <w:rFonts w:ascii="宋体" w:hAnsi="宋体"/>
                <w:sz w:val="24"/>
                <w:szCs w:val="24"/>
              </w:rPr>
            </w:pPr>
            <w:r>
              <w:rPr>
                <w:rFonts w:hint="eastAsia" w:ascii="宋体" w:hAnsi="宋体"/>
                <w:sz w:val="24"/>
                <w:szCs w:val="24"/>
              </w:rPr>
              <w:t>户籍所在地（地市、县区）</w:t>
            </w:r>
          </w:p>
        </w:tc>
        <w:tc>
          <w:tcPr>
            <w:tcW w:w="2444" w:type="dxa"/>
            <w:gridSpan w:val="6"/>
            <w:vAlign w:val="center"/>
          </w:tcPr>
          <w:p>
            <w:pPr>
              <w:spacing w:line="280" w:lineRule="exact"/>
              <w:jc w:val="center"/>
              <w:rPr>
                <w:rFonts w:hint="eastAsia" w:ascii="宋体" w:hAnsi="宋体"/>
                <w:sz w:val="24"/>
                <w:szCs w:val="24"/>
              </w:rPr>
            </w:pPr>
          </w:p>
        </w:tc>
        <w:tc>
          <w:tcPr>
            <w:tcW w:w="2121" w:type="dxa"/>
            <w:gridSpan w:val="3"/>
            <w:vMerge w:val="continue"/>
            <w:vAlign w:val="center"/>
          </w:tcPr>
          <w:p>
            <w:pPr>
              <w:spacing w:line="280" w:lineRule="exact"/>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95" w:hRule="atLeast"/>
        </w:trPr>
        <w:tc>
          <w:tcPr>
            <w:tcW w:w="1519" w:type="dxa"/>
            <w:vAlign w:val="center"/>
          </w:tcPr>
          <w:p>
            <w:pPr>
              <w:spacing w:line="280" w:lineRule="exact"/>
              <w:jc w:val="center"/>
              <w:rPr>
                <w:rFonts w:hint="eastAsia" w:ascii="宋体" w:hAnsi="宋体"/>
                <w:sz w:val="24"/>
                <w:szCs w:val="24"/>
              </w:rPr>
            </w:pPr>
            <w:r>
              <w:rPr>
                <w:rFonts w:hint="eastAsia" w:ascii="宋体" w:hAnsi="宋体"/>
                <w:sz w:val="24"/>
                <w:szCs w:val="24"/>
              </w:rPr>
              <w:t>出生年月日</w:t>
            </w:r>
          </w:p>
        </w:tc>
        <w:tc>
          <w:tcPr>
            <w:tcW w:w="1393" w:type="dxa"/>
            <w:gridSpan w:val="3"/>
            <w:vAlign w:val="center"/>
          </w:tcPr>
          <w:p>
            <w:pPr>
              <w:spacing w:line="280" w:lineRule="exact"/>
              <w:jc w:val="center"/>
              <w:rPr>
                <w:rFonts w:ascii="宋体" w:hAnsi="宋体"/>
                <w:sz w:val="24"/>
                <w:szCs w:val="24"/>
              </w:rPr>
            </w:pPr>
          </w:p>
        </w:tc>
        <w:tc>
          <w:tcPr>
            <w:tcW w:w="1703" w:type="dxa"/>
            <w:gridSpan w:val="6"/>
            <w:vAlign w:val="center"/>
          </w:tcPr>
          <w:p>
            <w:pPr>
              <w:spacing w:line="280" w:lineRule="exact"/>
              <w:jc w:val="center"/>
              <w:rPr>
                <w:rFonts w:hint="eastAsia" w:ascii="宋体" w:hAnsi="宋体"/>
                <w:sz w:val="24"/>
                <w:szCs w:val="24"/>
              </w:rPr>
            </w:pPr>
            <w:r>
              <w:rPr>
                <w:rFonts w:hint="eastAsia" w:ascii="宋体" w:hAnsi="宋体"/>
                <w:snapToGrid w:val="0"/>
                <w:kern w:val="0"/>
                <w:sz w:val="24"/>
                <w:szCs w:val="24"/>
              </w:rPr>
              <w:t>身份证号码</w:t>
            </w:r>
          </w:p>
        </w:tc>
        <w:tc>
          <w:tcPr>
            <w:tcW w:w="2444" w:type="dxa"/>
            <w:gridSpan w:val="6"/>
            <w:vAlign w:val="center"/>
          </w:tcPr>
          <w:p>
            <w:pPr>
              <w:spacing w:line="280" w:lineRule="exact"/>
              <w:jc w:val="center"/>
              <w:rPr>
                <w:rFonts w:hint="eastAsia" w:ascii="宋体" w:hAnsi="宋体"/>
                <w:sz w:val="24"/>
                <w:szCs w:val="24"/>
              </w:rPr>
            </w:pPr>
          </w:p>
        </w:tc>
        <w:tc>
          <w:tcPr>
            <w:tcW w:w="2121" w:type="dxa"/>
            <w:gridSpan w:val="3"/>
            <w:vMerge w:val="continue"/>
            <w:vAlign w:val="center"/>
          </w:tcPr>
          <w:p>
            <w:pPr>
              <w:spacing w:line="280" w:lineRule="exact"/>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723" w:hRule="atLeast"/>
        </w:trPr>
        <w:tc>
          <w:tcPr>
            <w:tcW w:w="1519" w:type="dxa"/>
            <w:vAlign w:val="center"/>
          </w:tcPr>
          <w:p>
            <w:pPr>
              <w:spacing w:line="280" w:lineRule="exact"/>
              <w:jc w:val="center"/>
              <w:rPr>
                <w:rFonts w:hint="eastAsia" w:ascii="宋体" w:hAnsi="宋体"/>
                <w:sz w:val="24"/>
                <w:szCs w:val="24"/>
              </w:rPr>
            </w:pPr>
            <w:r>
              <w:rPr>
                <w:rFonts w:hint="eastAsia" w:ascii="宋体" w:hAnsi="宋体"/>
                <w:sz w:val="24"/>
                <w:szCs w:val="24"/>
              </w:rPr>
              <w:t>身体是否</w:t>
            </w:r>
          </w:p>
          <w:p>
            <w:pPr>
              <w:spacing w:line="280" w:lineRule="exact"/>
              <w:jc w:val="center"/>
              <w:rPr>
                <w:rFonts w:ascii="宋体" w:hAnsi="宋体"/>
                <w:sz w:val="24"/>
                <w:szCs w:val="24"/>
              </w:rPr>
            </w:pPr>
            <w:r>
              <w:rPr>
                <w:rFonts w:hint="eastAsia" w:ascii="宋体" w:hAnsi="宋体"/>
                <w:sz w:val="24"/>
                <w:szCs w:val="24"/>
              </w:rPr>
              <w:t>健康</w:t>
            </w:r>
          </w:p>
        </w:tc>
        <w:tc>
          <w:tcPr>
            <w:tcW w:w="690" w:type="dxa"/>
            <w:vAlign w:val="center"/>
          </w:tcPr>
          <w:p>
            <w:pPr>
              <w:spacing w:line="280" w:lineRule="exact"/>
              <w:jc w:val="center"/>
              <w:rPr>
                <w:rFonts w:ascii="宋体" w:hAnsi="宋体"/>
                <w:sz w:val="24"/>
                <w:szCs w:val="24"/>
              </w:rPr>
            </w:pPr>
          </w:p>
        </w:tc>
        <w:tc>
          <w:tcPr>
            <w:tcW w:w="993" w:type="dxa"/>
            <w:gridSpan w:val="3"/>
            <w:vAlign w:val="center"/>
          </w:tcPr>
          <w:p>
            <w:pPr>
              <w:spacing w:line="280" w:lineRule="exact"/>
              <w:jc w:val="center"/>
              <w:rPr>
                <w:rFonts w:hint="eastAsia" w:ascii="宋体" w:hAnsi="宋体"/>
                <w:sz w:val="24"/>
                <w:szCs w:val="24"/>
              </w:rPr>
            </w:pPr>
            <w:r>
              <w:rPr>
                <w:rFonts w:hint="eastAsia" w:ascii="宋体" w:hAnsi="宋体"/>
                <w:sz w:val="24"/>
                <w:szCs w:val="24"/>
              </w:rPr>
              <w:t>是否在职人员</w:t>
            </w:r>
          </w:p>
        </w:tc>
        <w:tc>
          <w:tcPr>
            <w:tcW w:w="851" w:type="dxa"/>
            <w:gridSpan w:val="3"/>
            <w:vAlign w:val="center"/>
          </w:tcPr>
          <w:p>
            <w:pPr>
              <w:spacing w:line="280" w:lineRule="exact"/>
              <w:jc w:val="center"/>
              <w:rPr>
                <w:rFonts w:ascii="宋体" w:hAnsi="宋体"/>
                <w:sz w:val="24"/>
                <w:szCs w:val="24"/>
              </w:rPr>
            </w:pPr>
          </w:p>
        </w:tc>
        <w:tc>
          <w:tcPr>
            <w:tcW w:w="994" w:type="dxa"/>
            <w:gridSpan w:val="4"/>
            <w:vAlign w:val="center"/>
          </w:tcPr>
          <w:p>
            <w:pPr>
              <w:spacing w:line="280" w:lineRule="exact"/>
              <w:jc w:val="center"/>
              <w:rPr>
                <w:rFonts w:ascii="宋体" w:hAnsi="宋体"/>
                <w:sz w:val="24"/>
                <w:szCs w:val="24"/>
              </w:rPr>
            </w:pPr>
            <w:r>
              <w:rPr>
                <w:rFonts w:hint="eastAsia" w:ascii="宋体" w:hAnsi="宋体"/>
                <w:sz w:val="24"/>
                <w:szCs w:val="24"/>
              </w:rPr>
              <w:t>参加工作时间</w:t>
            </w:r>
          </w:p>
        </w:tc>
        <w:tc>
          <w:tcPr>
            <w:tcW w:w="2012" w:type="dxa"/>
            <w:gridSpan w:val="4"/>
            <w:vAlign w:val="center"/>
          </w:tcPr>
          <w:p>
            <w:pPr>
              <w:spacing w:line="280" w:lineRule="exact"/>
              <w:jc w:val="center"/>
              <w:rPr>
                <w:rFonts w:ascii="宋体" w:hAnsi="宋体"/>
                <w:sz w:val="24"/>
                <w:szCs w:val="24"/>
              </w:rPr>
            </w:pPr>
          </w:p>
        </w:tc>
        <w:tc>
          <w:tcPr>
            <w:tcW w:w="2121" w:type="dxa"/>
            <w:gridSpan w:val="3"/>
            <w:vMerge w:val="continue"/>
            <w:vAlign w:val="center"/>
          </w:tcPr>
          <w:p>
            <w:pPr>
              <w:spacing w:line="280" w:lineRule="exact"/>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66" w:hRule="atLeast"/>
        </w:trPr>
        <w:tc>
          <w:tcPr>
            <w:tcW w:w="1519" w:type="dxa"/>
            <w:vAlign w:val="center"/>
          </w:tcPr>
          <w:p>
            <w:pPr>
              <w:spacing w:line="400" w:lineRule="exact"/>
              <w:jc w:val="center"/>
              <w:rPr>
                <w:rFonts w:hint="eastAsia" w:ascii="宋体" w:hAnsi="宋体"/>
                <w:snapToGrid w:val="0"/>
                <w:kern w:val="0"/>
                <w:sz w:val="24"/>
                <w:szCs w:val="24"/>
              </w:rPr>
            </w:pPr>
            <w:r>
              <w:rPr>
                <w:rFonts w:hint="eastAsia" w:ascii="宋体" w:hAnsi="宋体"/>
                <w:sz w:val="24"/>
                <w:szCs w:val="24"/>
              </w:rPr>
              <w:t>现工作单位</w:t>
            </w:r>
          </w:p>
        </w:tc>
        <w:tc>
          <w:tcPr>
            <w:tcW w:w="3391" w:type="dxa"/>
            <w:gridSpan w:val="10"/>
            <w:vAlign w:val="center"/>
          </w:tcPr>
          <w:p>
            <w:pPr>
              <w:spacing w:line="400" w:lineRule="exact"/>
              <w:rPr>
                <w:rFonts w:ascii="宋体" w:hAnsi="宋体"/>
                <w:sz w:val="24"/>
                <w:szCs w:val="24"/>
              </w:rPr>
            </w:pPr>
          </w:p>
        </w:tc>
        <w:tc>
          <w:tcPr>
            <w:tcW w:w="2149" w:type="dxa"/>
            <w:gridSpan w:val="5"/>
            <w:vAlign w:val="center"/>
          </w:tcPr>
          <w:p>
            <w:pPr>
              <w:spacing w:line="400" w:lineRule="exact"/>
              <w:rPr>
                <w:rFonts w:ascii="宋体" w:hAnsi="宋体"/>
                <w:sz w:val="24"/>
                <w:szCs w:val="24"/>
              </w:rPr>
            </w:pPr>
            <w:r>
              <w:rPr>
                <w:rFonts w:hint="eastAsia" w:ascii="宋体" w:hAnsi="宋体"/>
                <w:sz w:val="24"/>
                <w:szCs w:val="24"/>
              </w:rPr>
              <w:t>现专业技术职务</w:t>
            </w:r>
          </w:p>
        </w:tc>
        <w:tc>
          <w:tcPr>
            <w:tcW w:w="2121" w:type="dxa"/>
            <w:gridSpan w:val="3"/>
            <w:vAlign w:val="center"/>
          </w:tcPr>
          <w:p>
            <w:pPr>
              <w:spacing w:line="400" w:lineRule="exact"/>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66" w:hRule="atLeast"/>
        </w:trPr>
        <w:tc>
          <w:tcPr>
            <w:tcW w:w="1519" w:type="dxa"/>
            <w:vMerge w:val="restart"/>
            <w:vAlign w:val="center"/>
          </w:tcPr>
          <w:p>
            <w:pPr>
              <w:spacing w:line="400" w:lineRule="exact"/>
              <w:jc w:val="center"/>
              <w:rPr>
                <w:rFonts w:hint="eastAsia" w:ascii="宋体" w:hAnsi="宋体"/>
                <w:sz w:val="24"/>
                <w:szCs w:val="24"/>
              </w:rPr>
            </w:pPr>
            <w:r>
              <w:rPr>
                <w:rFonts w:hint="eastAsia" w:ascii="宋体" w:hAnsi="宋体"/>
                <w:sz w:val="24"/>
                <w:szCs w:val="24"/>
                <w:lang w:eastAsia="zh-CN"/>
              </w:rPr>
              <w:t>本科</w:t>
            </w:r>
            <w:r>
              <w:rPr>
                <w:rFonts w:hint="eastAsia" w:ascii="宋体" w:hAnsi="宋体"/>
                <w:sz w:val="24"/>
                <w:szCs w:val="24"/>
              </w:rPr>
              <w:t>教育</w:t>
            </w:r>
          </w:p>
          <w:p>
            <w:pPr>
              <w:spacing w:line="400" w:lineRule="exact"/>
              <w:jc w:val="center"/>
              <w:rPr>
                <w:rFonts w:hint="eastAsia" w:ascii="宋体" w:hAnsi="宋体"/>
                <w:sz w:val="24"/>
                <w:szCs w:val="24"/>
              </w:rPr>
            </w:pPr>
            <w:r>
              <w:rPr>
                <w:rFonts w:hint="eastAsia" w:ascii="宋体" w:hAnsi="宋体"/>
                <w:sz w:val="24"/>
                <w:szCs w:val="24"/>
              </w:rPr>
              <w:t>情况</w:t>
            </w:r>
          </w:p>
        </w:tc>
        <w:tc>
          <w:tcPr>
            <w:tcW w:w="857" w:type="dxa"/>
            <w:gridSpan w:val="2"/>
            <w:vAlign w:val="center"/>
          </w:tcPr>
          <w:p>
            <w:pPr>
              <w:spacing w:line="400" w:lineRule="exact"/>
              <w:jc w:val="center"/>
              <w:rPr>
                <w:rFonts w:ascii="宋体" w:hAnsi="宋体"/>
                <w:sz w:val="24"/>
                <w:szCs w:val="24"/>
              </w:rPr>
            </w:pPr>
            <w:r>
              <w:rPr>
                <w:rFonts w:hint="eastAsia" w:ascii="宋体" w:hAnsi="宋体"/>
                <w:sz w:val="24"/>
                <w:szCs w:val="24"/>
              </w:rPr>
              <w:t>学历</w:t>
            </w:r>
          </w:p>
        </w:tc>
        <w:tc>
          <w:tcPr>
            <w:tcW w:w="1215" w:type="dxa"/>
            <w:gridSpan w:val="3"/>
            <w:vAlign w:val="center"/>
          </w:tcPr>
          <w:p>
            <w:pPr>
              <w:spacing w:line="400" w:lineRule="exact"/>
              <w:jc w:val="center"/>
              <w:rPr>
                <w:rFonts w:ascii="宋体" w:hAnsi="宋体"/>
                <w:sz w:val="24"/>
                <w:szCs w:val="24"/>
              </w:rPr>
            </w:pPr>
          </w:p>
        </w:tc>
        <w:tc>
          <w:tcPr>
            <w:tcW w:w="912" w:type="dxa"/>
            <w:gridSpan w:val="3"/>
            <w:vAlign w:val="center"/>
          </w:tcPr>
          <w:p>
            <w:pPr>
              <w:spacing w:line="400" w:lineRule="exact"/>
              <w:jc w:val="center"/>
              <w:rPr>
                <w:rFonts w:ascii="宋体" w:hAnsi="宋体"/>
                <w:sz w:val="24"/>
                <w:szCs w:val="24"/>
              </w:rPr>
            </w:pPr>
            <w:r>
              <w:rPr>
                <w:rFonts w:hint="eastAsia" w:ascii="宋体" w:hAnsi="宋体"/>
                <w:sz w:val="24"/>
                <w:szCs w:val="24"/>
              </w:rPr>
              <w:t>学位</w:t>
            </w:r>
          </w:p>
        </w:tc>
        <w:tc>
          <w:tcPr>
            <w:tcW w:w="1270" w:type="dxa"/>
            <w:gridSpan w:val="6"/>
            <w:vAlign w:val="center"/>
          </w:tcPr>
          <w:p>
            <w:pPr>
              <w:spacing w:line="400" w:lineRule="exact"/>
              <w:jc w:val="center"/>
              <w:rPr>
                <w:rFonts w:hint="eastAsia" w:ascii="宋体" w:hAnsi="宋体"/>
                <w:sz w:val="24"/>
                <w:szCs w:val="24"/>
              </w:rPr>
            </w:pPr>
          </w:p>
        </w:tc>
        <w:tc>
          <w:tcPr>
            <w:tcW w:w="1286" w:type="dxa"/>
            <w:vAlign w:val="center"/>
          </w:tcPr>
          <w:p>
            <w:pPr>
              <w:spacing w:line="400" w:lineRule="exact"/>
              <w:jc w:val="center"/>
              <w:rPr>
                <w:rFonts w:ascii="宋体" w:hAnsi="宋体"/>
                <w:sz w:val="24"/>
                <w:szCs w:val="24"/>
              </w:rPr>
            </w:pPr>
            <w:r>
              <w:rPr>
                <w:rFonts w:hint="eastAsia" w:ascii="宋体" w:hAnsi="宋体"/>
                <w:sz w:val="24"/>
                <w:szCs w:val="24"/>
              </w:rPr>
              <w:t>所学专业</w:t>
            </w:r>
          </w:p>
        </w:tc>
        <w:tc>
          <w:tcPr>
            <w:tcW w:w="2121" w:type="dxa"/>
            <w:gridSpan w:val="3"/>
            <w:vAlign w:val="center"/>
          </w:tcPr>
          <w:p>
            <w:pPr>
              <w:spacing w:line="400" w:lineRule="exact"/>
              <w:jc w:val="center"/>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66" w:hRule="atLeast"/>
        </w:trPr>
        <w:tc>
          <w:tcPr>
            <w:tcW w:w="1519" w:type="dxa"/>
            <w:vMerge w:val="continue"/>
            <w:vAlign w:val="center"/>
          </w:tcPr>
          <w:p>
            <w:pPr>
              <w:spacing w:line="400" w:lineRule="exact"/>
              <w:jc w:val="center"/>
              <w:rPr>
                <w:rFonts w:hint="eastAsia" w:ascii="宋体" w:hAnsi="宋体"/>
                <w:sz w:val="24"/>
                <w:szCs w:val="24"/>
              </w:rPr>
            </w:pPr>
          </w:p>
        </w:tc>
        <w:tc>
          <w:tcPr>
            <w:tcW w:w="857" w:type="dxa"/>
            <w:gridSpan w:val="2"/>
            <w:vAlign w:val="center"/>
          </w:tcPr>
          <w:p>
            <w:pPr>
              <w:spacing w:line="400" w:lineRule="exact"/>
              <w:jc w:val="center"/>
              <w:rPr>
                <w:rFonts w:hint="eastAsia" w:ascii="宋体" w:hAnsi="宋体"/>
                <w:sz w:val="24"/>
                <w:szCs w:val="24"/>
              </w:rPr>
            </w:pPr>
            <w:r>
              <w:rPr>
                <w:rFonts w:hint="eastAsia" w:ascii="宋体" w:hAnsi="宋体"/>
                <w:sz w:val="24"/>
                <w:szCs w:val="24"/>
              </w:rPr>
              <w:t>毕业时间</w:t>
            </w:r>
          </w:p>
        </w:tc>
        <w:tc>
          <w:tcPr>
            <w:tcW w:w="1215" w:type="dxa"/>
            <w:gridSpan w:val="3"/>
            <w:vAlign w:val="center"/>
          </w:tcPr>
          <w:p>
            <w:pPr>
              <w:spacing w:line="400" w:lineRule="exact"/>
              <w:jc w:val="center"/>
              <w:rPr>
                <w:rFonts w:hint="eastAsia" w:ascii="宋体" w:hAnsi="宋体"/>
                <w:sz w:val="24"/>
                <w:szCs w:val="24"/>
              </w:rPr>
            </w:pPr>
          </w:p>
        </w:tc>
        <w:tc>
          <w:tcPr>
            <w:tcW w:w="912" w:type="dxa"/>
            <w:gridSpan w:val="3"/>
            <w:vAlign w:val="center"/>
          </w:tcPr>
          <w:p>
            <w:pPr>
              <w:spacing w:line="400" w:lineRule="exact"/>
              <w:jc w:val="center"/>
              <w:rPr>
                <w:rFonts w:hint="eastAsia" w:ascii="宋体" w:hAnsi="宋体"/>
                <w:sz w:val="24"/>
                <w:szCs w:val="24"/>
              </w:rPr>
            </w:pPr>
            <w:r>
              <w:rPr>
                <w:rFonts w:hint="eastAsia" w:ascii="宋体" w:hAnsi="宋体"/>
                <w:sz w:val="24"/>
                <w:szCs w:val="24"/>
              </w:rPr>
              <w:t>毕业院校</w:t>
            </w:r>
          </w:p>
        </w:tc>
        <w:tc>
          <w:tcPr>
            <w:tcW w:w="2556" w:type="dxa"/>
            <w:gridSpan w:val="7"/>
            <w:vAlign w:val="center"/>
          </w:tcPr>
          <w:p>
            <w:pPr>
              <w:spacing w:line="400" w:lineRule="exact"/>
              <w:jc w:val="center"/>
              <w:rPr>
                <w:rFonts w:hint="eastAsia" w:ascii="宋体" w:hAnsi="宋体"/>
                <w:sz w:val="24"/>
                <w:szCs w:val="24"/>
              </w:rPr>
            </w:pPr>
          </w:p>
        </w:tc>
        <w:tc>
          <w:tcPr>
            <w:tcW w:w="1273" w:type="dxa"/>
            <w:vAlign w:val="center"/>
          </w:tcPr>
          <w:p>
            <w:pPr>
              <w:spacing w:line="400" w:lineRule="exact"/>
              <w:jc w:val="center"/>
              <w:rPr>
                <w:rFonts w:ascii="宋体" w:hAnsi="宋体"/>
                <w:sz w:val="24"/>
                <w:szCs w:val="24"/>
              </w:rPr>
            </w:pPr>
            <w:r>
              <w:rPr>
                <w:rFonts w:hint="eastAsia" w:ascii="宋体" w:hAnsi="宋体"/>
                <w:sz w:val="24"/>
                <w:szCs w:val="24"/>
              </w:rPr>
              <w:t>是否师范类毕业生</w:t>
            </w:r>
          </w:p>
        </w:tc>
        <w:tc>
          <w:tcPr>
            <w:tcW w:w="848" w:type="dxa"/>
            <w:gridSpan w:val="2"/>
            <w:vAlign w:val="center"/>
          </w:tcPr>
          <w:p>
            <w:pPr>
              <w:spacing w:line="400" w:lineRule="exact"/>
              <w:jc w:val="center"/>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66" w:hRule="atLeast"/>
        </w:trPr>
        <w:tc>
          <w:tcPr>
            <w:tcW w:w="1519" w:type="dxa"/>
            <w:vMerge w:val="restart"/>
            <w:vAlign w:val="center"/>
          </w:tcPr>
          <w:p>
            <w:pPr>
              <w:spacing w:line="400" w:lineRule="exact"/>
              <w:jc w:val="center"/>
              <w:rPr>
                <w:rFonts w:hint="eastAsia" w:ascii="宋体" w:hAnsi="宋体"/>
                <w:sz w:val="24"/>
                <w:szCs w:val="24"/>
              </w:rPr>
            </w:pPr>
            <w:r>
              <w:rPr>
                <w:rFonts w:hint="eastAsia" w:ascii="宋体" w:hAnsi="宋体"/>
                <w:sz w:val="24"/>
                <w:szCs w:val="24"/>
                <w:lang w:eastAsia="zh-CN"/>
              </w:rPr>
              <w:t>硕士</w:t>
            </w:r>
            <w:r>
              <w:rPr>
                <w:rFonts w:hint="eastAsia" w:ascii="宋体" w:hAnsi="宋体"/>
                <w:sz w:val="24"/>
                <w:szCs w:val="24"/>
              </w:rPr>
              <w:t>教育</w:t>
            </w:r>
          </w:p>
          <w:p>
            <w:pPr>
              <w:spacing w:line="400" w:lineRule="exact"/>
              <w:jc w:val="center"/>
              <w:rPr>
                <w:rFonts w:hint="eastAsia" w:ascii="宋体" w:hAnsi="宋体"/>
                <w:sz w:val="24"/>
                <w:szCs w:val="24"/>
              </w:rPr>
            </w:pPr>
            <w:r>
              <w:rPr>
                <w:rFonts w:hint="eastAsia" w:ascii="宋体" w:hAnsi="宋体"/>
                <w:sz w:val="24"/>
                <w:szCs w:val="24"/>
              </w:rPr>
              <w:t>情况</w:t>
            </w:r>
          </w:p>
        </w:tc>
        <w:tc>
          <w:tcPr>
            <w:tcW w:w="857" w:type="dxa"/>
            <w:gridSpan w:val="2"/>
            <w:vAlign w:val="center"/>
          </w:tcPr>
          <w:p>
            <w:pPr>
              <w:spacing w:line="400" w:lineRule="exact"/>
              <w:jc w:val="center"/>
              <w:rPr>
                <w:rFonts w:ascii="宋体" w:hAnsi="宋体"/>
                <w:sz w:val="24"/>
                <w:szCs w:val="24"/>
              </w:rPr>
            </w:pPr>
            <w:r>
              <w:rPr>
                <w:rFonts w:hint="eastAsia" w:ascii="宋体" w:hAnsi="宋体"/>
                <w:sz w:val="24"/>
                <w:szCs w:val="24"/>
              </w:rPr>
              <w:t>学历</w:t>
            </w:r>
          </w:p>
        </w:tc>
        <w:tc>
          <w:tcPr>
            <w:tcW w:w="1215" w:type="dxa"/>
            <w:gridSpan w:val="3"/>
            <w:vAlign w:val="center"/>
          </w:tcPr>
          <w:p>
            <w:pPr>
              <w:spacing w:line="400" w:lineRule="exact"/>
              <w:jc w:val="center"/>
              <w:rPr>
                <w:rFonts w:ascii="宋体" w:hAnsi="宋体"/>
                <w:sz w:val="24"/>
                <w:szCs w:val="24"/>
              </w:rPr>
            </w:pPr>
          </w:p>
        </w:tc>
        <w:tc>
          <w:tcPr>
            <w:tcW w:w="912" w:type="dxa"/>
            <w:gridSpan w:val="3"/>
            <w:vAlign w:val="center"/>
          </w:tcPr>
          <w:p>
            <w:pPr>
              <w:spacing w:line="400" w:lineRule="exact"/>
              <w:jc w:val="center"/>
              <w:rPr>
                <w:rFonts w:ascii="宋体" w:hAnsi="宋体"/>
                <w:sz w:val="24"/>
                <w:szCs w:val="24"/>
              </w:rPr>
            </w:pPr>
            <w:r>
              <w:rPr>
                <w:rFonts w:hint="eastAsia" w:ascii="宋体" w:hAnsi="宋体"/>
                <w:sz w:val="24"/>
                <w:szCs w:val="24"/>
              </w:rPr>
              <w:t>学位</w:t>
            </w:r>
          </w:p>
        </w:tc>
        <w:tc>
          <w:tcPr>
            <w:tcW w:w="1270" w:type="dxa"/>
            <w:gridSpan w:val="6"/>
            <w:vAlign w:val="center"/>
          </w:tcPr>
          <w:p>
            <w:pPr>
              <w:spacing w:line="400" w:lineRule="exact"/>
              <w:jc w:val="center"/>
              <w:rPr>
                <w:rFonts w:hint="eastAsia" w:ascii="宋体" w:hAnsi="宋体"/>
                <w:sz w:val="24"/>
                <w:szCs w:val="24"/>
              </w:rPr>
            </w:pPr>
          </w:p>
        </w:tc>
        <w:tc>
          <w:tcPr>
            <w:tcW w:w="1286" w:type="dxa"/>
            <w:vAlign w:val="center"/>
          </w:tcPr>
          <w:p>
            <w:pPr>
              <w:spacing w:line="400" w:lineRule="exact"/>
              <w:jc w:val="center"/>
              <w:rPr>
                <w:rFonts w:ascii="宋体" w:hAnsi="宋体"/>
                <w:sz w:val="24"/>
                <w:szCs w:val="24"/>
              </w:rPr>
            </w:pPr>
            <w:r>
              <w:rPr>
                <w:rFonts w:hint="eastAsia" w:ascii="宋体" w:hAnsi="宋体"/>
                <w:sz w:val="24"/>
                <w:szCs w:val="24"/>
              </w:rPr>
              <w:t>所学专业</w:t>
            </w:r>
          </w:p>
        </w:tc>
        <w:tc>
          <w:tcPr>
            <w:tcW w:w="2121" w:type="dxa"/>
            <w:gridSpan w:val="3"/>
            <w:vAlign w:val="center"/>
          </w:tcPr>
          <w:p>
            <w:pPr>
              <w:spacing w:line="400" w:lineRule="exact"/>
              <w:jc w:val="center"/>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66" w:hRule="atLeast"/>
        </w:trPr>
        <w:tc>
          <w:tcPr>
            <w:tcW w:w="1519" w:type="dxa"/>
            <w:vMerge w:val="continue"/>
            <w:vAlign w:val="center"/>
          </w:tcPr>
          <w:p>
            <w:pPr>
              <w:spacing w:line="400" w:lineRule="exact"/>
              <w:jc w:val="center"/>
              <w:rPr>
                <w:rFonts w:hint="eastAsia" w:ascii="宋体" w:hAnsi="宋体"/>
                <w:sz w:val="24"/>
                <w:szCs w:val="24"/>
              </w:rPr>
            </w:pPr>
          </w:p>
        </w:tc>
        <w:tc>
          <w:tcPr>
            <w:tcW w:w="857" w:type="dxa"/>
            <w:gridSpan w:val="2"/>
            <w:vAlign w:val="center"/>
          </w:tcPr>
          <w:p>
            <w:pPr>
              <w:spacing w:line="400" w:lineRule="exact"/>
              <w:jc w:val="center"/>
              <w:rPr>
                <w:rFonts w:hint="eastAsia" w:ascii="宋体" w:hAnsi="宋体"/>
                <w:sz w:val="24"/>
                <w:szCs w:val="24"/>
              </w:rPr>
            </w:pPr>
            <w:r>
              <w:rPr>
                <w:rFonts w:hint="eastAsia" w:ascii="宋体" w:hAnsi="宋体"/>
                <w:sz w:val="24"/>
                <w:szCs w:val="24"/>
              </w:rPr>
              <w:t>毕业时间</w:t>
            </w:r>
          </w:p>
        </w:tc>
        <w:tc>
          <w:tcPr>
            <w:tcW w:w="1215" w:type="dxa"/>
            <w:gridSpan w:val="3"/>
            <w:vAlign w:val="center"/>
          </w:tcPr>
          <w:p>
            <w:pPr>
              <w:spacing w:line="400" w:lineRule="exact"/>
              <w:jc w:val="center"/>
              <w:rPr>
                <w:rFonts w:hint="eastAsia" w:ascii="宋体" w:hAnsi="宋体"/>
                <w:sz w:val="24"/>
                <w:szCs w:val="24"/>
              </w:rPr>
            </w:pPr>
          </w:p>
        </w:tc>
        <w:tc>
          <w:tcPr>
            <w:tcW w:w="912" w:type="dxa"/>
            <w:gridSpan w:val="3"/>
            <w:vAlign w:val="center"/>
          </w:tcPr>
          <w:p>
            <w:pPr>
              <w:spacing w:line="400" w:lineRule="exact"/>
              <w:jc w:val="center"/>
              <w:rPr>
                <w:rFonts w:hint="eastAsia" w:ascii="宋体" w:hAnsi="宋体"/>
                <w:sz w:val="24"/>
                <w:szCs w:val="24"/>
              </w:rPr>
            </w:pPr>
            <w:r>
              <w:rPr>
                <w:rFonts w:hint="eastAsia" w:ascii="宋体" w:hAnsi="宋体"/>
                <w:sz w:val="24"/>
                <w:szCs w:val="24"/>
              </w:rPr>
              <w:t>毕业院校</w:t>
            </w:r>
          </w:p>
        </w:tc>
        <w:tc>
          <w:tcPr>
            <w:tcW w:w="2556" w:type="dxa"/>
            <w:gridSpan w:val="7"/>
            <w:vAlign w:val="center"/>
          </w:tcPr>
          <w:p>
            <w:pPr>
              <w:spacing w:line="400" w:lineRule="exact"/>
              <w:jc w:val="center"/>
              <w:rPr>
                <w:rFonts w:hint="eastAsia" w:ascii="宋体" w:hAnsi="宋体"/>
                <w:sz w:val="24"/>
                <w:szCs w:val="24"/>
              </w:rPr>
            </w:pPr>
          </w:p>
        </w:tc>
        <w:tc>
          <w:tcPr>
            <w:tcW w:w="1273" w:type="dxa"/>
            <w:vAlign w:val="center"/>
          </w:tcPr>
          <w:p>
            <w:pPr>
              <w:spacing w:line="400" w:lineRule="exact"/>
              <w:jc w:val="center"/>
              <w:rPr>
                <w:rFonts w:ascii="宋体" w:hAnsi="宋体"/>
                <w:sz w:val="24"/>
                <w:szCs w:val="24"/>
              </w:rPr>
            </w:pPr>
            <w:r>
              <w:rPr>
                <w:rFonts w:hint="eastAsia" w:ascii="宋体" w:hAnsi="宋体"/>
                <w:sz w:val="24"/>
                <w:szCs w:val="24"/>
              </w:rPr>
              <w:t>是否师范类毕业生</w:t>
            </w:r>
          </w:p>
        </w:tc>
        <w:tc>
          <w:tcPr>
            <w:tcW w:w="848" w:type="dxa"/>
            <w:gridSpan w:val="2"/>
            <w:vAlign w:val="center"/>
          </w:tcPr>
          <w:p>
            <w:pPr>
              <w:spacing w:line="400" w:lineRule="exact"/>
              <w:jc w:val="center"/>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66" w:hRule="atLeast"/>
        </w:trPr>
        <w:tc>
          <w:tcPr>
            <w:tcW w:w="1519" w:type="dxa"/>
            <w:vMerge w:val="restart"/>
            <w:vAlign w:val="center"/>
          </w:tcPr>
          <w:p>
            <w:pPr>
              <w:spacing w:line="400" w:lineRule="exact"/>
              <w:jc w:val="center"/>
              <w:rPr>
                <w:rFonts w:hint="eastAsia" w:ascii="宋体" w:hAnsi="宋体"/>
                <w:sz w:val="24"/>
                <w:szCs w:val="24"/>
              </w:rPr>
            </w:pPr>
            <w:r>
              <w:rPr>
                <w:rFonts w:hint="eastAsia" w:ascii="宋体" w:hAnsi="宋体"/>
                <w:sz w:val="24"/>
                <w:szCs w:val="24"/>
                <w:lang w:eastAsia="zh-CN"/>
              </w:rPr>
              <w:t>博士</w:t>
            </w:r>
            <w:r>
              <w:rPr>
                <w:rFonts w:hint="eastAsia" w:ascii="宋体" w:hAnsi="宋体"/>
                <w:sz w:val="24"/>
                <w:szCs w:val="24"/>
              </w:rPr>
              <w:t>教育情况</w:t>
            </w:r>
          </w:p>
        </w:tc>
        <w:tc>
          <w:tcPr>
            <w:tcW w:w="857" w:type="dxa"/>
            <w:gridSpan w:val="2"/>
            <w:vAlign w:val="center"/>
          </w:tcPr>
          <w:p>
            <w:pPr>
              <w:spacing w:line="400" w:lineRule="exact"/>
              <w:jc w:val="center"/>
              <w:rPr>
                <w:rFonts w:ascii="宋体" w:hAnsi="宋体"/>
                <w:sz w:val="24"/>
                <w:szCs w:val="24"/>
              </w:rPr>
            </w:pPr>
            <w:r>
              <w:rPr>
                <w:rFonts w:hint="eastAsia" w:ascii="宋体" w:hAnsi="宋体"/>
                <w:sz w:val="24"/>
                <w:szCs w:val="24"/>
              </w:rPr>
              <w:t>学历</w:t>
            </w:r>
          </w:p>
        </w:tc>
        <w:tc>
          <w:tcPr>
            <w:tcW w:w="1215" w:type="dxa"/>
            <w:gridSpan w:val="3"/>
            <w:vAlign w:val="center"/>
          </w:tcPr>
          <w:p>
            <w:pPr>
              <w:spacing w:line="400" w:lineRule="exact"/>
              <w:jc w:val="center"/>
              <w:rPr>
                <w:rFonts w:ascii="宋体" w:hAnsi="宋体"/>
                <w:sz w:val="24"/>
                <w:szCs w:val="24"/>
              </w:rPr>
            </w:pPr>
          </w:p>
        </w:tc>
        <w:tc>
          <w:tcPr>
            <w:tcW w:w="912" w:type="dxa"/>
            <w:gridSpan w:val="3"/>
            <w:vAlign w:val="center"/>
          </w:tcPr>
          <w:p>
            <w:pPr>
              <w:spacing w:line="400" w:lineRule="exact"/>
              <w:jc w:val="center"/>
              <w:rPr>
                <w:rFonts w:ascii="宋体" w:hAnsi="宋体"/>
                <w:sz w:val="24"/>
                <w:szCs w:val="24"/>
              </w:rPr>
            </w:pPr>
            <w:r>
              <w:rPr>
                <w:rFonts w:hint="eastAsia" w:ascii="宋体" w:hAnsi="宋体"/>
                <w:sz w:val="24"/>
                <w:szCs w:val="24"/>
              </w:rPr>
              <w:t>学位</w:t>
            </w:r>
          </w:p>
        </w:tc>
        <w:tc>
          <w:tcPr>
            <w:tcW w:w="1254" w:type="dxa"/>
            <w:gridSpan w:val="5"/>
            <w:vAlign w:val="center"/>
          </w:tcPr>
          <w:p>
            <w:pPr>
              <w:spacing w:line="400" w:lineRule="exact"/>
              <w:jc w:val="center"/>
              <w:rPr>
                <w:rFonts w:ascii="宋体" w:hAnsi="宋体"/>
                <w:sz w:val="24"/>
                <w:szCs w:val="24"/>
              </w:rPr>
            </w:pPr>
          </w:p>
        </w:tc>
        <w:tc>
          <w:tcPr>
            <w:tcW w:w="1302" w:type="dxa"/>
            <w:gridSpan w:val="2"/>
            <w:vAlign w:val="center"/>
          </w:tcPr>
          <w:p>
            <w:pPr>
              <w:spacing w:line="400" w:lineRule="exact"/>
              <w:jc w:val="center"/>
              <w:rPr>
                <w:rFonts w:ascii="宋体" w:hAnsi="宋体"/>
                <w:sz w:val="24"/>
                <w:szCs w:val="24"/>
              </w:rPr>
            </w:pPr>
            <w:r>
              <w:rPr>
                <w:rFonts w:hint="eastAsia" w:ascii="宋体" w:hAnsi="宋体"/>
                <w:sz w:val="24"/>
                <w:szCs w:val="24"/>
              </w:rPr>
              <w:t>所学专业</w:t>
            </w:r>
          </w:p>
        </w:tc>
        <w:tc>
          <w:tcPr>
            <w:tcW w:w="2121" w:type="dxa"/>
            <w:gridSpan w:val="3"/>
            <w:vAlign w:val="center"/>
          </w:tcPr>
          <w:p>
            <w:pPr>
              <w:spacing w:line="400" w:lineRule="exact"/>
              <w:jc w:val="center"/>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66" w:hRule="atLeast"/>
        </w:trPr>
        <w:tc>
          <w:tcPr>
            <w:tcW w:w="1519" w:type="dxa"/>
            <w:vMerge w:val="continue"/>
            <w:vAlign w:val="center"/>
          </w:tcPr>
          <w:p>
            <w:pPr>
              <w:spacing w:line="400" w:lineRule="exact"/>
              <w:jc w:val="center"/>
              <w:rPr>
                <w:rFonts w:hint="eastAsia" w:ascii="宋体" w:hAnsi="宋体"/>
                <w:sz w:val="24"/>
                <w:szCs w:val="24"/>
              </w:rPr>
            </w:pPr>
          </w:p>
        </w:tc>
        <w:tc>
          <w:tcPr>
            <w:tcW w:w="857" w:type="dxa"/>
            <w:gridSpan w:val="2"/>
            <w:vAlign w:val="center"/>
          </w:tcPr>
          <w:p>
            <w:pPr>
              <w:spacing w:line="400" w:lineRule="exact"/>
              <w:jc w:val="center"/>
              <w:rPr>
                <w:rFonts w:ascii="宋体" w:hAnsi="宋体"/>
                <w:sz w:val="24"/>
                <w:szCs w:val="24"/>
              </w:rPr>
            </w:pPr>
            <w:r>
              <w:rPr>
                <w:rFonts w:hint="eastAsia" w:ascii="宋体" w:hAnsi="宋体"/>
                <w:sz w:val="24"/>
                <w:szCs w:val="24"/>
              </w:rPr>
              <w:t>毕业时间</w:t>
            </w:r>
          </w:p>
        </w:tc>
        <w:tc>
          <w:tcPr>
            <w:tcW w:w="1215" w:type="dxa"/>
            <w:gridSpan w:val="3"/>
            <w:vAlign w:val="center"/>
          </w:tcPr>
          <w:p>
            <w:pPr>
              <w:spacing w:line="400" w:lineRule="exact"/>
              <w:jc w:val="center"/>
              <w:rPr>
                <w:rFonts w:ascii="宋体" w:hAnsi="宋体"/>
                <w:sz w:val="24"/>
                <w:szCs w:val="24"/>
              </w:rPr>
            </w:pPr>
          </w:p>
        </w:tc>
        <w:tc>
          <w:tcPr>
            <w:tcW w:w="912" w:type="dxa"/>
            <w:gridSpan w:val="3"/>
            <w:vAlign w:val="center"/>
          </w:tcPr>
          <w:p>
            <w:pPr>
              <w:spacing w:line="400" w:lineRule="exact"/>
              <w:jc w:val="center"/>
              <w:rPr>
                <w:rFonts w:ascii="宋体" w:hAnsi="宋体"/>
                <w:sz w:val="24"/>
                <w:szCs w:val="24"/>
              </w:rPr>
            </w:pPr>
            <w:r>
              <w:rPr>
                <w:rFonts w:hint="eastAsia" w:ascii="宋体" w:hAnsi="宋体"/>
                <w:sz w:val="24"/>
                <w:szCs w:val="24"/>
              </w:rPr>
              <w:t>毕业院校</w:t>
            </w:r>
          </w:p>
        </w:tc>
        <w:tc>
          <w:tcPr>
            <w:tcW w:w="2556" w:type="dxa"/>
            <w:gridSpan w:val="7"/>
            <w:vAlign w:val="center"/>
          </w:tcPr>
          <w:p>
            <w:pPr>
              <w:spacing w:line="400" w:lineRule="exact"/>
              <w:jc w:val="center"/>
              <w:rPr>
                <w:rFonts w:ascii="宋体" w:hAnsi="宋体"/>
                <w:sz w:val="24"/>
                <w:szCs w:val="24"/>
              </w:rPr>
            </w:pPr>
          </w:p>
        </w:tc>
        <w:tc>
          <w:tcPr>
            <w:tcW w:w="1320" w:type="dxa"/>
            <w:gridSpan w:val="2"/>
            <w:vAlign w:val="center"/>
          </w:tcPr>
          <w:p>
            <w:pPr>
              <w:spacing w:line="400" w:lineRule="exact"/>
              <w:jc w:val="center"/>
              <w:rPr>
                <w:rFonts w:ascii="宋体" w:hAnsi="宋体"/>
                <w:sz w:val="24"/>
                <w:szCs w:val="24"/>
              </w:rPr>
            </w:pPr>
            <w:r>
              <w:rPr>
                <w:rFonts w:hint="eastAsia" w:ascii="宋体" w:hAnsi="宋体"/>
                <w:sz w:val="24"/>
                <w:szCs w:val="24"/>
              </w:rPr>
              <w:t>是否师范类毕业生</w:t>
            </w:r>
          </w:p>
        </w:tc>
        <w:tc>
          <w:tcPr>
            <w:tcW w:w="801" w:type="dxa"/>
            <w:vAlign w:val="center"/>
          </w:tcPr>
          <w:p>
            <w:pPr>
              <w:spacing w:line="400" w:lineRule="exact"/>
              <w:jc w:val="center"/>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66" w:hRule="atLeast"/>
        </w:trPr>
        <w:tc>
          <w:tcPr>
            <w:tcW w:w="2376" w:type="dxa"/>
            <w:gridSpan w:val="3"/>
            <w:vAlign w:val="center"/>
          </w:tcPr>
          <w:p>
            <w:pPr>
              <w:spacing w:line="400" w:lineRule="exact"/>
              <w:jc w:val="center"/>
              <w:rPr>
                <w:rFonts w:hint="eastAsia" w:ascii="宋体" w:hAnsi="宋体"/>
                <w:spacing w:val="-20"/>
                <w:sz w:val="24"/>
                <w:szCs w:val="24"/>
              </w:rPr>
            </w:pPr>
            <w:r>
              <w:rPr>
                <w:rFonts w:hint="eastAsia" w:ascii="宋体" w:hAnsi="宋体"/>
                <w:spacing w:val="-20"/>
                <w:sz w:val="24"/>
                <w:szCs w:val="24"/>
              </w:rPr>
              <w:t>取得教师资格证书种类（填写相应选项代码）</w:t>
            </w:r>
          </w:p>
        </w:tc>
        <w:tc>
          <w:tcPr>
            <w:tcW w:w="1215" w:type="dxa"/>
            <w:gridSpan w:val="3"/>
            <w:vAlign w:val="center"/>
          </w:tcPr>
          <w:p>
            <w:pPr>
              <w:spacing w:line="400" w:lineRule="exact"/>
              <w:rPr>
                <w:rFonts w:ascii="宋体" w:hAnsi="宋体"/>
                <w:sz w:val="24"/>
                <w:szCs w:val="24"/>
              </w:rPr>
            </w:pPr>
          </w:p>
        </w:tc>
        <w:tc>
          <w:tcPr>
            <w:tcW w:w="5589" w:type="dxa"/>
            <w:gridSpan w:val="13"/>
            <w:vAlign w:val="center"/>
          </w:tcPr>
          <w:p>
            <w:pPr>
              <w:spacing w:line="400" w:lineRule="exact"/>
              <w:ind w:left="120" w:hanging="120" w:hangingChars="50"/>
              <w:rPr>
                <w:rFonts w:hint="eastAsia" w:ascii="宋体" w:hAnsi="宋体"/>
                <w:sz w:val="24"/>
                <w:szCs w:val="24"/>
              </w:rPr>
            </w:pPr>
            <w:r>
              <w:rPr>
                <w:rFonts w:hint="eastAsia" w:ascii="宋体" w:hAnsi="宋体"/>
                <w:sz w:val="24"/>
                <w:szCs w:val="24"/>
              </w:rPr>
              <w:t>A.幼儿园教师资格         B.小学教师资格</w:t>
            </w:r>
          </w:p>
          <w:p>
            <w:pPr>
              <w:spacing w:line="400" w:lineRule="exact"/>
              <w:ind w:left="120" w:hanging="120" w:hangingChars="50"/>
              <w:rPr>
                <w:rFonts w:hint="eastAsia" w:ascii="宋体" w:hAnsi="宋体"/>
                <w:sz w:val="24"/>
                <w:szCs w:val="24"/>
              </w:rPr>
            </w:pPr>
            <w:r>
              <w:rPr>
                <w:rFonts w:hint="eastAsia" w:ascii="宋体" w:hAnsi="宋体"/>
                <w:sz w:val="24"/>
                <w:szCs w:val="24"/>
              </w:rPr>
              <w:t>C.初级中学教师资格       D. 高级中学教师资格</w:t>
            </w:r>
          </w:p>
          <w:p>
            <w:pPr>
              <w:spacing w:line="400" w:lineRule="exact"/>
              <w:ind w:left="120" w:hanging="120" w:hangingChars="50"/>
              <w:rPr>
                <w:rFonts w:ascii="宋体" w:hAnsi="宋体"/>
                <w:sz w:val="24"/>
                <w:szCs w:val="24"/>
              </w:rPr>
            </w:pPr>
            <w:r>
              <w:rPr>
                <w:rFonts w:hint="eastAsia" w:ascii="宋体" w:hAnsi="宋体"/>
                <w:sz w:val="24"/>
                <w:szCs w:val="24"/>
              </w:rPr>
              <w:t>E.中等职业学校教师资格   F.</w:t>
            </w:r>
            <w:r>
              <w:rPr>
                <w:rFonts w:ascii="宋体" w:hAnsi="宋体"/>
                <w:sz w:val="24"/>
                <w:szCs w:val="24"/>
              </w:rPr>
              <w:t xml:space="preserve"> </w:t>
            </w:r>
            <w:r>
              <w:rPr>
                <w:rFonts w:hint="eastAsia" w:ascii="宋体" w:hAnsi="宋体"/>
                <w:sz w:val="24"/>
                <w:szCs w:val="24"/>
              </w:rPr>
              <w:t>高等学校教师资格</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2521" w:hRule="atLeast"/>
        </w:trPr>
        <w:tc>
          <w:tcPr>
            <w:tcW w:w="1519" w:type="dxa"/>
            <w:vAlign w:val="center"/>
          </w:tcPr>
          <w:p>
            <w:pPr>
              <w:spacing w:line="400" w:lineRule="exact"/>
              <w:rPr>
                <w:rFonts w:hint="eastAsia" w:ascii="宋体" w:hAnsi="宋体"/>
                <w:snapToGrid w:val="0"/>
                <w:kern w:val="0"/>
                <w:sz w:val="24"/>
                <w:szCs w:val="24"/>
              </w:rPr>
            </w:pPr>
            <w:r>
              <w:rPr>
                <w:rFonts w:hint="eastAsia" w:ascii="宋体" w:hAnsi="宋体"/>
                <w:sz w:val="24"/>
                <w:szCs w:val="24"/>
              </w:rPr>
              <w:t>取得招聘岗位要求的其它证书情况</w:t>
            </w:r>
          </w:p>
        </w:tc>
        <w:tc>
          <w:tcPr>
            <w:tcW w:w="7661" w:type="dxa"/>
            <w:gridSpan w:val="18"/>
            <w:vAlign w:val="center"/>
          </w:tcPr>
          <w:p>
            <w:pPr>
              <w:spacing w:line="400" w:lineRule="exact"/>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2636" w:hRule="atLeast"/>
        </w:trPr>
        <w:tc>
          <w:tcPr>
            <w:tcW w:w="1519" w:type="dxa"/>
            <w:vAlign w:val="center"/>
          </w:tcPr>
          <w:p>
            <w:pPr>
              <w:rPr>
                <w:rFonts w:hint="eastAsia" w:ascii="宋体" w:hAnsi="宋体"/>
                <w:sz w:val="24"/>
                <w:szCs w:val="24"/>
              </w:rPr>
            </w:pPr>
            <w:r>
              <w:rPr>
                <w:rFonts w:hint="eastAsia" w:ascii="宋体" w:hAnsi="宋体"/>
                <w:sz w:val="24"/>
                <w:szCs w:val="24"/>
              </w:rPr>
              <w:t>个人简历(从高中阶段填起，须注明每段经历的起止年月、所在单位或学校和职务)</w:t>
            </w:r>
          </w:p>
        </w:tc>
        <w:tc>
          <w:tcPr>
            <w:tcW w:w="7661" w:type="dxa"/>
            <w:gridSpan w:val="18"/>
            <w:vAlign w:val="center"/>
          </w:tcPr>
          <w:p>
            <w:pPr>
              <w:rPr>
                <w:rFonts w:hint="eastAsia"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3264" w:hRule="atLeast"/>
        </w:trPr>
        <w:tc>
          <w:tcPr>
            <w:tcW w:w="1519" w:type="dxa"/>
            <w:vAlign w:val="center"/>
          </w:tcPr>
          <w:p>
            <w:pPr>
              <w:spacing w:line="400" w:lineRule="exact"/>
              <w:rPr>
                <w:rFonts w:hint="eastAsia" w:ascii="宋体" w:hAnsi="宋体"/>
                <w:snapToGrid w:val="0"/>
                <w:spacing w:val="-20"/>
                <w:kern w:val="0"/>
                <w:sz w:val="24"/>
                <w:szCs w:val="24"/>
              </w:rPr>
            </w:pPr>
            <w:r>
              <w:rPr>
                <w:rFonts w:hint="eastAsia" w:ascii="宋体" w:hAnsi="宋体"/>
                <w:snapToGrid w:val="0"/>
                <w:spacing w:val="-20"/>
                <w:kern w:val="0"/>
                <w:sz w:val="24"/>
                <w:szCs w:val="24"/>
              </w:rPr>
              <w:t>取得的荣誉称号、奖励（包括获奖时间、奖励名称和颁奖单位）；</w:t>
            </w:r>
            <w:r>
              <w:rPr>
                <w:rFonts w:hint="eastAsia" w:ascii="宋体" w:hAnsi="宋体"/>
                <w:spacing w:val="-20"/>
                <w:sz w:val="24"/>
                <w:szCs w:val="24"/>
              </w:rPr>
              <w:t>发表论文情况（时间、论文名称、发表刊物等）</w:t>
            </w:r>
          </w:p>
        </w:tc>
        <w:tc>
          <w:tcPr>
            <w:tcW w:w="7661" w:type="dxa"/>
            <w:gridSpan w:val="18"/>
            <w:vAlign w:val="center"/>
          </w:tcPr>
          <w:p>
            <w:pPr>
              <w:spacing w:line="400" w:lineRule="exact"/>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1124" w:hRule="atLeast"/>
        </w:trPr>
        <w:tc>
          <w:tcPr>
            <w:tcW w:w="1519" w:type="dxa"/>
            <w:vAlign w:val="center"/>
          </w:tcPr>
          <w:p>
            <w:pPr>
              <w:spacing w:line="400" w:lineRule="exact"/>
              <w:jc w:val="center"/>
              <w:rPr>
                <w:rFonts w:hint="eastAsia" w:ascii="宋体" w:hAnsi="宋体"/>
                <w:snapToGrid w:val="0"/>
                <w:kern w:val="0"/>
                <w:sz w:val="24"/>
                <w:szCs w:val="24"/>
              </w:rPr>
            </w:pPr>
            <w:r>
              <w:rPr>
                <w:rFonts w:hint="eastAsia" w:ascii="宋体" w:hAnsi="宋体"/>
                <w:snapToGrid w:val="0"/>
                <w:kern w:val="0"/>
                <w:sz w:val="24"/>
                <w:szCs w:val="24"/>
              </w:rPr>
              <w:t>联系方式</w:t>
            </w:r>
          </w:p>
        </w:tc>
        <w:tc>
          <w:tcPr>
            <w:tcW w:w="7661" w:type="dxa"/>
            <w:gridSpan w:val="18"/>
            <w:vAlign w:val="center"/>
          </w:tcPr>
          <w:p>
            <w:pPr>
              <w:spacing w:line="400" w:lineRule="exact"/>
              <w:rPr>
                <w:rFonts w:ascii="宋体" w:hAnsi="宋体"/>
                <w:sz w:val="24"/>
                <w:szCs w:val="24"/>
              </w:rPr>
            </w:pPr>
            <w:r>
              <w:rPr>
                <w:rFonts w:hint="eastAsia" w:ascii="宋体" w:hAnsi="宋体"/>
                <w:sz w:val="24"/>
                <w:szCs w:val="24"/>
              </w:rPr>
              <w:t>电话：                            电子邮箱：</w:t>
            </w:r>
          </w:p>
          <w:p>
            <w:pPr>
              <w:spacing w:line="400" w:lineRule="exact"/>
              <w:rPr>
                <w:rFonts w:ascii="宋体" w:hAnsi="宋体"/>
                <w:sz w:val="24"/>
                <w:szCs w:val="24"/>
              </w:rPr>
            </w:pPr>
            <w:r>
              <w:rPr>
                <w:rFonts w:hint="eastAsia" w:ascii="宋体" w:hAnsi="宋体"/>
                <w:sz w:val="24"/>
                <w:szCs w:val="24"/>
              </w:rPr>
              <w:t>通信地址：                        邮政编码:</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866" w:hRule="atLeast"/>
        </w:trPr>
        <w:tc>
          <w:tcPr>
            <w:tcW w:w="1519" w:type="dxa"/>
            <w:vAlign w:val="center"/>
          </w:tcPr>
          <w:p>
            <w:pPr>
              <w:spacing w:line="400" w:lineRule="exact"/>
              <w:jc w:val="center"/>
              <w:rPr>
                <w:rFonts w:hint="eastAsia" w:ascii="宋体" w:hAnsi="宋体"/>
                <w:snapToGrid w:val="0"/>
                <w:kern w:val="0"/>
                <w:sz w:val="24"/>
                <w:szCs w:val="24"/>
              </w:rPr>
            </w:pPr>
            <w:r>
              <w:rPr>
                <w:rFonts w:hint="eastAsia" w:ascii="宋体" w:hAnsi="宋体"/>
                <w:sz w:val="24"/>
                <w:szCs w:val="24"/>
              </w:rPr>
              <w:t>现家庭住址</w:t>
            </w:r>
          </w:p>
        </w:tc>
        <w:tc>
          <w:tcPr>
            <w:tcW w:w="7661" w:type="dxa"/>
            <w:gridSpan w:val="18"/>
            <w:vAlign w:val="center"/>
          </w:tcPr>
          <w:p>
            <w:pPr>
              <w:spacing w:line="400" w:lineRule="exact"/>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1859" w:hRule="atLeast"/>
        </w:trPr>
        <w:tc>
          <w:tcPr>
            <w:tcW w:w="1519" w:type="dxa"/>
            <w:vAlign w:val="center"/>
          </w:tcPr>
          <w:p>
            <w:pPr>
              <w:jc w:val="center"/>
              <w:rPr>
                <w:rFonts w:hint="eastAsia" w:ascii="宋体" w:hAnsi="宋体"/>
                <w:sz w:val="24"/>
                <w:szCs w:val="24"/>
              </w:rPr>
            </w:pPr>
            <w:r>
              <w:rPr>
                <w:rFonts w:hint="eastAsia" w:ascii="宋体" w:hAnsi="宋体"/>
                <w:sz w:val="24"/>
                <w:szCs w:val="24"/>
              </w:rPr>
              <w:t>家庭成员及主要社会关系</w:t>
            </w:r>
          </w:p>
        </w:tc>
        <w:tc>
          <w:tcPr>
            <w:tcW w:w="7661" w:type="dxa"/>
            <w:gridSpan w:val="18"/>
            <w:vAlign w:val="center"/>
          </w:tcPr>
          <w:p>
            <w:pPr>
              <w:rPr>
                <w:rFonts w:hint="eastAsia" w:ascii="宋体" w:hAnsi="宋体"/>
                <w:sz w:val="24"/>
                <w:szCs w:val="24"/>
              </w:rPr>
            </w:pPr>
          </w:p>
          <w:p>
            <w:pPr>
              <w:rPr>
                <w:rFonts w:hint="eastAsia"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3095" w:hRule="atLeast"/>
        </w:trPr>
        <w:tc>
          <w:tcPr>
            <w:tcW w:w="1519" w:type="dxa"/>
            <w:vAlign w:val="center"/>
          </w:tcPr>
          <w:p>
            <w:pPr>
              <w:jc w:val="center"/>
              <w:rPr>
                <w:rFonts w:hint="eastAsia" w:ascii="宋体" w:hAnsi="宋体"/>
                <w:sz w:val="24"/>
                <w:szCs w:val="24"/>
              </w:rPr>
            </w:pPr>
            <w:r>
              <w:rPr>
                <w:rFonts w:hint="eastAsia" w:ascii="宋体" w:hAnsi="宋体"/>
                <w:sz w:val="24"/>
                <w:szCs w:val="24"/>
              </w:rPr>
              <w:t>承诺</w:t>
            </w:r>
          </w:p>
        </w:tc>
        <w:tc>
          <w:tcPr>
            <w:tcW w:w="7661" w:type="dxa"/>
            <w:gridSpan w:val="18"/>
            <w:vAlign w:val="center"/>
          </w:tcPr>
          <w:p>
            <w:pPr>
              <w:ind w:firstLine="480" w:firstLineChars="200"/>
              <w:rPr>
                <w:rFonts w:hint="eastAsia" w:ascii="宋体" w:hAnsi="宋体"/>
                <w:sz w:val="28"/>
                <w:szCs w:val="28"/>
              </w:rPr>
            </w:pPr>
            <w:r>
              <w:rPr>
                <w:rFonts w:hint="eastAsia" w:ascii="宋体" w:hAnsi="宋体"/>
                <w:sz w:val="24"/>
                <w:szCs w:val="24"/>
              </w:rPr>
              <w:t xml:space="preserve"> </w:t>
            </w:r>
            <w:r>
              <w:rPr>
                <w:rFonts w:hint="eastAsia" w:ascii="宋体" w:hAnsi="宋体"/>
                <w:sz w:val="28"/>
                <w:szCs w:val="28"/>
              </w:rPr>
              <w:t xml:space="preserve">本人承诺：所填信息和提供的证明材料真实准确，对因提供有关信息、证件不实或违反有关规定所造成的后果，责任自负。  </w:t>
            </w:r>
          </w:p>
          <w:p>
            <w:pPr>
              <w:ind w:firstLine="1260" w:firstLineChars="450"/>
              <w:rPr>
                <w:rFonts w:hint="eastAsia" w:ascii="宋体" w:hAnsi="宋体"/>
                <w:sz w:val="24"/>
                <w:szCs w:val="24"/>
              </w:rPr>
            </w:pPr>
            <w:r>
              <w:rPr>
                <w:rFonts w:hint="eastAsia" w:ascii="宋体" w:hAnsi="宋体"/>
                <w:sz w:val="28"/>
                <w:szCs w:val="28"/>
              </w:rPr>
              <w:t xml:space="preserve">                    </w:t>
            </w:r>
            <w:r>
              <w:rPr>
                <w:rFonts w:hint="eastAsia" w:ascii="宋体" w:hAnsi="宋体"/>
                <w:sz w:val="24"/>
                <w:szCs w:val="24"/>
              </w:rPr>
              <w:t>本人签名：</w:t>
            </w:r>
          </w:p>
          <w:p>
            <w:pPr>
              <w:ind w:firstLine="1080" w:firstLineChars="450"/>
              <w:rPr>
                <w:rFonts w:hint="eastAsia" w:ascii="宋体" w:hAnsi="宋体"/>
                <w:sz w:val="24"/>
                <w:szCs w:val="24"/>
              </w:rPr>
            </w:pPr>
          </w:p>
          <w:p>
            <w:pPr>
              <w:ind w:firstLine="3720" w:firstLineChars="1550"/>
              <w:rPr>
                <w:rFonts w:ascii="宋体" w:hAnsi="宋体"/>
                <w:sz w:val="24"/>
                <w:szCs w:val="24"/>
              </w:rPr>
            </w:pPr>
            <w:r>
              <w:rPr>
                <w:rFonts w:hint="eastAsia" w:ascii="宋体" w:hAnsi="宋体"/>
                <w:sz w:val="24"/>
                <w:szCs w:val="24"/>
              </w:rPr>
              <w:t>二〇一</w:t>
            </w:r>
            <w:r>
              <w:rPr>
                <w:rFonts w:hint="eastAsia" w:ascii="宋体" w:hAnsi="宋体"/>
                <w:sz w:val="24"/>
                <w:szCs w:val="24"/>
                <w:lang w:eastAsia="zh-CN"/>
              </w:rPr>
              <w:t>八</w:t>
            </w:r>
            <w:r>
              <w:rPr>
                <w:rFonts w:hint="eastAsia" w:ascii="宋体" w:hAnsi="宋体"/>
                <w:sz w:val="24"/>
                <w:szCs w:val="24"/>
              </w:rPr>
              <w:t xml:space="preserve"> 年 一 月     日</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1085" w:hRule="atLeast"/>
        </w:trPr>
        <w:tc>
          <w:tcPr>
            <w:tcW w:w="1519" w:type="dxa"/>
            <w:vAlign w:val="center"/>
          </w:tcPr>
          <w:p>
            <w:pPr>
              <w:jc w:val="center"/>
              <w:rPr>
                <w:rFonts w:hint="eastAsia" w:ascii="宋体" w:hAnsi="宋体"/>
                <w:sz w:val="24"/>
                <w:szCs w:val="24"/>
              </w:rPr>
            </w:pPr>
            <w:r>
              <w:rPr>
                <w:rFonts w:hint="eastAsia" w:ascii="宋体" w:hAnsi="宋体"/>
                <w:sz w:val="24"/>
                <w:szCs w:val="24"/>
              </w:rPr>
              <w:t>备注</w:t>
            </w:r>
          </w:p>
        </w:tc>
        <w:tc>
          <w:tcPr>
            <w:tcW w:w="7661" w:type="dxa"/>
            <w:gridSpan w:val="18"/>
            <w:vAlign w:val="center"/>
          </w:tcPr>
          <w:p>
            <w:pPr>
              <w:jc w:val="left"/>
              <w:rPr>
                <w:rFonts w:ascii="宋体" w:hAnsi="宋体"/>
                <w:sz w:val="24"/>
                <w:szCs w:val="24"/>
              </w:rPr>
            </w:pPr>
          </w:p>
        </w:tc>
      </w:tr>
    </w:tbl>
    <w:p>
      <w:pPr>
        <w:ind w:left="-359" w:leftChars="-171" w:firstLine="297" w:firstLineChars="124"/>
        <w:rPr>
          <w:rFonts w:hint="eastAsia" w:ascii="宋体" w:hAnsi="宋体"/>
          <w:sz w:val="24"/>
          <w:szCs w:val="24"/>
        </w:rPr>
      </w:pPr>
      <w:r>
        <w:rPr>
          <w:rFonts w:hint="eastAsia" w:ascii="宋体" w:hAnsi="宋体"/>
          <w:sz w:val="24"/>
          <w:szCs w:val="24"/>
        </w:rPr>
        <w:t>注：1. 表格内容不能空项，无需填写的填“无”。</w:t>
      </w:r>
    </w:p>
    <w:p>
      <w:pPr>
        <w:ind w:left="-359" w:leftChars="-171" w:firstLine="297" w:firstLineChars="124"/>
        <w:rPr>
          <w:rFonts w:hint="eastAsia" w:ascii="宋体" w:hAnsi="宋体"/>
          <w:sz w:val="24"/>
          <w:szCs w:val="24"/>
        </w:rPr>
      </w:pPr>
      <w:r>
        <w:rPr>
          <w:rFonts w:hint="eastAsia" w:ascii="宋体" w:hAnsi="宋体"/>
          <w:sz w:val="24"/>
          <w:szCs w:val="24"/>
        </w:rPr>
        <w:t xml:space="preserve">    2. 此表填写后用A4型纸双面彩色打印，本人手写签名，资格审查时提交。</w:t>
      </w:r>
    </w:p>
    <w:p/>
    <w:p>
      <w:pPr>
        <w:rPr>
          <w:rStyle w:val="5"/>
          <w:rFonts w:hint="eastAsia" w:ascii="黑体" w:hAnsi="黑体" w:eastAsia="黑体"/>
          <w:color w:val="000000"/>
          <w:sz w:val="32"/>
          <w:szCs w:val="32"/>
        </w:rPr>
      </w:pPr>
    </w:p>
    <w:p>
      <w:pPr>
        <w:rPr>
          <w:rStyle w:val="5"/>
          <w:rFonts w:hint="eastAsia" w:ascii="黑体" w:hAnsi="黑体" w:eastAsia="黑体"/>
          <w:color w:val="000000"/>
          <w:sz w:val="32"/>
          <w:szCs w:val="32"/>
        </w:rPr>
      </w:pPr>
    </w:p>
    <w:p>
      <w:pPr>
        <w:rPr>
          <w:rStyle w:val="5"/>
          <w:rFonts w:hint="eastAsia" w:ascii="黑体" w:hAnsi="黑体" w:eastAsia="黑体"/>
          <w:color w:val="000000"/>
          <w:sz w:val="32"/>
          <w:szCs w:val="32"/>
        </w:rPr>
      </w:pPr>
    </w:p>
    <w:p>
      <w:pPr>
        <w:rPr>
          <w:rStyle w:val="5"/>
          <w:rFonts w:hint="eastAsia" w:ascii="黑体" w:hAnsi="黑体" w:eastAsia="黑体"/>
          <w:color w:val="000000"/>
          <w:sz w:val="32"/>
          <w:szCs w:val="32"/>
        </w:rPr>
      </w:pPr>
    </w:p>
    <w:p>
      <w:pPr>
        <w:rPr>
          <w:rStyle w:val="5"/>
          <w:rFonts w:hint="eastAsia" w:ascii="黑体" w:hAnsi="黑体" w:eastAsia="黑体"/>
          <w:color w:val="000000"/>
          <w:sz w:val="32"/>
          <w:szCs w:val="32"/>
        </w:rPr>
      </w:pPr>
    </w:p>
    <w:p>
      <w:pPr>
        <w:rPr>
          <w:rStyle w:val="5"/>
          <w:rFonts w:hint="eastAsia" w:ascii="黑体" w:hAnsi="黑体" w:eastAsia="黑体"/>
          <w:color w:val="000000"/>
          <w:sz w:val="32"/>
          <w:szCs w:val="32"/>
        </w:rPr>
      </w:pPr>
    </w:p>
    <w:p>
      <w:pPr>
        <w:rPr>
          <w:rStyle w:val="5"/>
          <w:rFonts w:hint="eastAsia" w:ascii="黑体" w:hAnsi="黑体" w:eastAsia="黑体"/>
          <w:color w:val="000000"/>
          <w:sz w:val="32"/>
          <w:szCs w:val="32"/>
        </w:rPr>
      </w:pPr>
    </w:p>
    <w:p>
      <w:pPr>
        <w:rPr>
          <w:rStyle w:val="5"/>
          <w:rFonts w:hint="eastAsia" w:ascii="黑体" w:hAnsi="黑体" w:eastAsia="黑体"/>
          <w:color w:val="000000"/>
          <w:sz w:val="32"/>
          <w:szCs w:val="32"/>
        </w:rPr>
      </w:pPr>
    </w:p>
    <w:p>
      <w:pPr>
        <w:rPr>
          <w:rStyle w:val="5"/>
          <w:rFonts w:hint="eastAsia" w:ascii="黑体" w:hAnsi="黑体" w:eastAsia="黑体"/>
          <w:color w:val="000000"/>
          <w:sz w:val="32"/>
          <w:szCs w:val="32"/>
        </w:rPr>
      </w:pPr>
    </w:p>
    <w:p>
      <w:pPr>
        <w:rPr>
          <w:rStyle w:val="5"/>
          <w:rFonts w:hint="eastAsia" w:ascii="黑体" w:hAnsi="黑体" w:eastAsia="黑体"/>
          <w:color w:val="000000"/>
          <w:sz w:val="32"/>
          <w:szCs w:val="32"/>
        </w:rPr>
      </w:pPr>
    </w:p>
    <w:p>
      <w:pPr>
        <w:rPr>
          <w:rStyle w:val="5"/>
          <w:rFonts w:hint="eastAsia" w:ascii="黑体" w:hAnsi="黑体" w:eastAsia="黑体"/>
          <w:color w:val="000000"/>
          <w:sz w:val="32"/>
          <w:szCs w:val="32"/>
        </w:rPr>
      </w:pPr>
    </w:p>
    <w:p>
      <w:pPr>
        <w:rPr>
          <w:rStyle w:val="5"/>
          <w:rFonts w:hint="eastAsia" w:ascii="黑体" w:hAnsi="黑体" w:eastAsia="黑体"/>
          <w:color w:val="000000"/>
          <w:sz w:val="32"/>
          <w:szCs w:val="32"/>
        </w:rPr>
      </w:pPr>
      <w:bookmarkStart w:id="0" w:name="_GoBack"/>
      <w:bookmarkEnd w:id="0"/>
    </w:p>
    <w:p>
      <w:pPr>
        <w:rPr>
          <w:rStyle w:val="5"/>
          <w:rFonts w:hint="eastAsia" w:ascii="黑体" w:hAnsi="黑体" w:eastAsia="黑体"/>
          <w:color w:val="000000"/>
          <w:sz w:val="32"/>
          <w:szCs w:val="32"/>
        </w:rPr>
      </w:pPr>
    </w:p>
    <w:p>
      <w:pPr>
        <w:rPr>
          <w:rStyle w:val="5"/>
          <w:rFonts w:hint="eastAsia" w:ascii="黑体" w:hAnsi="黑体" w:eastAsia="黑体"/>
          <w:color w:val="000000"/>
          <w:sz w:val="32"/>
          <w:szCs w:val="32"/>
        </w:rPr>
      </w:pPr>
    </w:p>
    <w:p>
      <w:pPr>
        <w:rPr>
          <w:rStyle w:val="5"/>
          <w:rFonts w:hint="eastAsia" w:ascii="黑体" w:hAnsi="黑体" w:eastAsia="黑体"/>
          <w:color w:val="000000"/>
          <w:sz w:val="32"/>
          <w:szCs w:val="32"/>
        </w:rPr>
      </w:pPr>
    </w:p>
    <w:p>
      <w:pPr>
        <w:rPr>
          <w:rStyle w:val="5"/>
          <w:rFonts w:hint="eastAsia" w:ascii="黑体" w:hAnsi="黑体" w:eastAsia="黑体"/>
          <w:color w:val="000000"/>
          <w:sz w:val="32"/>
          <w:szCs w:val="32"/>
        </w:rPr>
      </w:pPr>
      <w:r>
        <w:rPr>
          <w:rStyle w:val="5"/>
          <w:rFonts w:hint="eastAsia" w:ascii="黑体" w:hAnsi="黑体" w:eastAsia="黑体"/>
          <w:color w:val="000000"/>
          <w:sz w:val="32"/>
          <w:szCs w:val="32"/>
        </w:rPr>
        <w:t>附件3</w:t>
      </w:r>
    </w:p>
    <w:p>
      <w:pPr>
        <w:spacing w:line="500" w:lineRule="exact"/>
        <w:jc w:val="center"/>
        <w:rPr>
          <w:rFonts w:hint="eastAsia" w:ascii="宋体" w:hAnsi="宋体"/>
          <w:b/>
          <w:sz w:val="36"/>
          <w:szCs w:val="36"/>
        </w:rPr>
      </w:pPr>
      <w:r>
        <w:rPr>
          <w:rFonts w:hint="eastAsia" w:ascii="宋体" w:hAnsi="宋体"/>
          <w:b/>
          <w:sz w:val="36"/>
          <w:szCs w:val="36"/>
        </w:rPr>
        <w:t>青岛市教育局直属学校面试前置公开招聘</w:t>
      </w:r>
    </w:p>
    <w:p>
      <w:pPr>
        <w:spacing w:line="500" w:lineRule="exact"/>
        <w:jc w:val="center"/>
        <w:rPr>
          <w:rFonts w:hint="eastAsia" w:ascii="宋体" w:hAnsi="宋体"/>
          <w:b/>
          <w:sz w:val="36"/>
          <w:szCs w:val="36"/>
        </w:rPr>
      </w:pPr>
      <w:r>
        <w:rPr>
          <w:rFonts w:hint="eastAsia" w:ascii="宋体" w:hAnsi="宋体"/>
          <w:b/>
          <w:sz w:val="36"/>
          <w:szCs w:val="36"/>
        </w:rPr>
        <w:t>工作人员诚信承诺书</w:t>
      </w:r>
    </w:p>
    <w:p>
      <w:pPr>
        <w:pStyle w:val="2"/>
        <w:spacing w:line="500" w:lineRule="exact"/>
        <w:ind w:firstLine="640" w:firstLineChars="200"/>
        <w:rPr>
          <w:rFonts w:hint="eastAsia"/>
          <w:sz w:val="32"/>
        </w:rPr>
      </w:pPr>
    </w:p>
    <w:p>
      <w:pPr>
        <w:pStyle w:val="2"/>
        <w:spacing w:line="500" w:lineRule="exact"/>
        <w:ind w:firstLine="640" w:firstLineChars="200"/>
        <w:rPr>
          <w:rFonts w:hint="eastAsia"/>
          <w:sz w:val="32"/>
        </w:rPr>
      </w:pPr>
    </w:p>
    <w:p>
      <w:pPr>
        <w:ind w:firstLine="640" w:firstLineChars="200"/>
        <w:rPr>
          <w:rFonts w:hint="eastAsia" w:ascii="仿宋_GB2312" w:eastAsia="仿宋_GB2312"/>
          <w:sz w:val="32"/>
          <w:szCs w:val="32"/>
        </w:rPr>
      </w:pPr>
      <w:r>
        <w:rPr>
          <w:rFonts w:hint="eastAsia" w:ascii="仿宋_GB2312" w:eastAsia="仿宋_GB2312"/>
          <w:sz w:val="32"/>
          <w:szCs w:val="32"/>
        </w:rPr>
        <w:t>我已仔细读过《201</w:t>
      </w:r>
      <w:r>
        <w:rPr>
          <w:rFonts w:hint="eastAsia" w:ascii="仿宋_GB2312" w:eastAsia="仿宋_GB2312"/>
          <w:sz w:val="32"/>
          <w:szCs w:val="32"/>
          <w:lang w:val="en-US" w:eastAsia="zh-CN"/>
        </w:rPr>
        <w:t>8</w:t>
      </w:r>
      <w:r>
        <w:rPr>
          <w:rFonts w:hint="eastAsia" w:ascii="仿宋_GB2312" w:eastAsia="仿宋_GB2312"/>
          <w:sz w:val="32"/>
          <w:szCs w:val="32"/>
        </w:rPr>
        <w:t>年青岛市教育局直属学校</w:t>
      </w:r>
      <w:r>
        <w:rPr>
          <w:rFonts w:hint="eastAsia" w:ascii="仿宋_GB2312" w:eastAsia="仿宋_GB2312"/>
          <w:sz w:val="32"/>
          <w:szCs w:val="32"/>
          <w:lang w:eastAsia="zh-CN"/>
        </w:rPr>
        <w:t>面试前置</w:t>
      </w:r>
      <w:r>
        <w:rPr>
          <w:rFonts w:hint="eastAsia" w:ascii="仿宋_GB2312" w:eastAsia="仿宋_GB2312"/>
          <w:sz w:val="32"/>
          <w:szCs w:val="32"/>
        </w:rPr>
        <w:t>公开招聘工作人员简章》，理解其内容，符合报考条件。我郑重承诺：本人所提供的个人信息、证明材料、证件等真实、准确，并自觉遵守事业单位招聘的各项规定，诚实守信、严守纪律，认真履行应聘人员的义务，对因提供有关信息证件不实或违反有关纪律规定所造成的后果，本人自愿承担相应的责任。本人对本次报考态度严肃，如被录取，严格遵守协议，一旦发生违约，本人自愿承担相关法律责任。</w:t>
      </w:r>
    </w:p>
    <w:p>
      <w:pPr>
        <w:spacing w:line="500" w:lineRule="exact"/>
        <w:ind w:firstLine="640" w:firstLineChars="200"/>
        <w:rPr>
          <w:rFonts w:hint="eastAsia" w:ascii="仿宋_GB2312" w:eastAsia="仿宋_GB2312"/>
          <w:sz w:val="32"/>
          <w:szCs w:val="32"/>
        </w:rPr>
      </w:pPr>
    </w:p>
    <w:p>
      <w:pPr>
        <w:spacing w:line="500" w:lineRule="exact"/>
        <w:ind w:firstLine="640" w:firstLineChars="200"/>
        <w:rPr>
          <w:rFonts w:hint="eastAsia" w:ascii="仿宋_GB2312" w:eastAsia="仿宋_GB2312"/>
          <w:sz w:val="32"/>
          <w:szCs w:val="32"/>
        </w:rPr>
      </w:pPr>
    </w:p>
    <w:p>
      <w:pPr>
        <w:spacing w:line="500" w:lineRule="exact"/>
        <w:jc w:val="center"/>
        <w:rPr>
          <w:rFonts w:hint="eastAsia" w:ascii="仿宋_GB2312" w:eastAsia="仿宋_GB2312"/>
          <w:sz w:val="32"/>
          <w:szCs w:val="32"/>
        </w:rPr>
      </w:pPr>
      <w:r>
        <w:rPr>
          <w:rFonts w:hint="eastAsia" w:ascii="仿宋_GB2312" w:eastAsia="仿宋_GB2312"/>
          <w:sz w:val="32"/>
          <w:szCs w:val="32"/>
        </w:rPr>
        <w:t xml:space="preserve">                     </w:t>
      </w:r>
      <w:r>
        <w:rPr>
          <w:rFonts w:ascii="仿宋_GB2312" w:eastAsia="仿宋_GB2312"/>
          <w:sz w:val="32"/>
          <w:szCs w:val="32"/>
        </w:rPr>
        <w:t xml:space="preserve">  </w:t>
      </w:r>
      <w:r>
        <w:rPr>
          <w:rFonts w:hint="eastAsia" w:ascii="仿宋_GB2312" w:eastAsia="仿宋_GB2312"/>
          <w:sz w:val="32"/>
          <w:szCs w:val="32"/>
        </w:rPr>
        <w:t>应聘人员签名：</w:t>
      </w:r>
    </w:p>
    <w:p>
      <w:pPr>
        <w:spacing w:line="500" w:lineRule="exact"/>
        <w:jc w:val="center"/>
        <w:rPr>
          <w:rFonts w:hint="eastAsia" w:ascii="仿宋_GB2312" w:eastAsia="仿宋_GB2312"/>
          <w:sz w:val="32"/>
          <w:szCs w:val="32"/>
        </w:rPr>
      </w:pPr>
    </w:p>
    <w:p>
      <w:pPr>
        <w:spacing w:line="500" w:lineRule="exact"/>
        <w:jc w:val="center"/>
        <w:rPr>
          <w:rFonts w:hint="eastAsia" w:ascii="仿宋_GB2312" w:eastAsia="仿宋_GB2312"/>
          <w:sz w:val="32"/>
          <w:szCs w:val="32"/>
        </w:rPr>
      </w:pPr>
      <w:r>
        <w:rPr>
          <w:rFonts w:hint="eastAsia" w:ascii="仿宋_GB2312" w:eastAsia="仿宋_GB2312"/>
          <w:sz w:val="32"/>
          <w:szCs w:val="32"/>
        </w:rPr>
        <w:t xml:space="preserve">                      </w:t>
      </w:r>
      <w:r>
        <w:rPr>
          <w:rFonts w:ascii="仿宋_GB2312" w:eastAsia="仿宋_GB2312"/>
          <w:sz w:val="32"/>
          <w:szCs w:val="32"/>
        </w:rPr>
        <w:t xml:space="preserve">          </w:t>
      </w:r>
      <w:r>
        <w:rPr>
          <w:rFonts w:hint="eastAsia" w:ascii="仿宋_GB2312" w:eastAsia="仿宋_GB2312"/>
          <w:sz w:val="32"/>
          <w:szCs w:val="32"/>
        </w:rPr>
        <w:t xml:space="preserve"> 年   月   日</w:t>
      </w:r>
    </w:p>
    <w:p/>
    <w:p>
      <w:pPr>
        <w:rPr>
          <w:rFonts w:hint="eastAsia" w:eastAsiaTheme="minorEastAsia"/>
          <w:lang w:val="en-US" w:eastAsia="zh-CN"/>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文星标宋">
    <w:altName w:val="微软雅黑"/>
    <w:panose1 w:val="02010604000101010101"/>
    <w:charset w:val="86"/>
    <w:family w:val="auto"/>
    <w:pitch w:val="default"/>
    <w:sig w:usb0="00000000" w:usb1="00000000" w:usb2="00000000"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F474B92"/>
    <w:rsid w:val="337F7194"/>
    <w:rsid w:val="521B0205"/>
    <w:rsid w:val="573C6B6A"/>
    <w:rsid w:val="73D758BE"/>
    <w:rsid w:val="7B7857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rPr>
      <w:rFonts w:ascii="仿宋_GB2312" w:hAnsi="Times New Roman" w:eastAsia="仿宋_GB2312"/>
      <w:sz w:val="30"/>
      <w:szCs w:val="20"/>
    </w:rPr>
  </w:style>
  <w:style w:type="character" w:customStyle="1" w:styleId="5">
    <w:name w:val="shenlan1"/>
    <w:qFormat/>
    <w:uiPriority w:val="0"/>
    <w:rPr>
      <w:color w:val="08529B"/>
      <w:sz w:val="21"/>
      <w:szCs w:val="21"/>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per</dc:creator>
  <cp:lastModifiedBy>zjc</cp:lastModifiedBy>
  <cp:lastPrinted>2018-01-11T00:27:00Z</cp:lastPrinted>
  <dcterms:modified xsi:type="dcterms:W3CDTF">2018-01-12T08:59:02Z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